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ТРИВОРТЕКС: задача трёх (и N) тел в вихревой модели с топологическим интегралом Чаплыгина</w:t>
      </w:r>
    </w:p>
    <w:p>
      <w:pPr>
        <w:pStyle w:val="Author"/>
      </w:pPr>
      <w:r>
        <w:t xml:space="preserve">Isaev Iskhak Khamzatovich</w:t>
      </w:r>
    </w:p>
    <w:bookmarkStart w:id="32" w:name="Xd526dd2ddba92b1a3dd614cb0d6072d3fed370c"/>
    <w:p>
      <w:pPr>
        <w:pStyle w:val="Heading1"/>
      </w:pPr>
      <w:r>
        <w:t xml:space="preserve">ТРИВОРТЕКС — Задача трёх (и N) тел в вихревой модели с топологическим интегралом Чаплыгина</w:t>
      </w:r>
    </w:p>
    <w:p>
      <w:pPr>
        <w:pStyle w:val="FirstParagraph"/>
      </w:pPr>
      <w:r>
        <w:rPr>
          <w:i/>
          <w:iCs/>
        </w:rPr>
        <w:t xml:space="preserve">Основная монография · русское издание · Исследовательская программа TRIVORTEX v1.0.0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Документ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Liberation Sans" w:hAnsi="Liberation Sans"/>
                <w:b/>
                <w:color w:val="FFFFFF"/>
                <w:sz w:val="18"/>
              </w:rPr>
              <w:t xml:space="preserve">code/trivortex_core*.py</w:t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 </w:t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— исполнимое ядро, 22 секции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Автор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Исаев Исхак Хамзатович (ORCID 0009-0003-7299-0701)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Программа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TRIVORTEX — репозиторий research-papers, версия 1.0.0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10.5281/zenodo.21825394 (концептуальный DOI 10.5281/zenodo.21825393)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Верификация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Независимая лестница V1–V4 + pytest-защита из 27 тестов, запуск на каждый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LicenseRef-Proprietary-Wild8Highlander-1.0</w:t>
            </w:r>
          </w:p>
        </w:tc>
      </w:tr>
    </w:tbl>
    <w:bookmarkStart w:id="20" w:name="аннотация"/>
    <w:p>
      <w:pPr>
        <w:pStyle w:val="Heading2"/>
      </w:pPr>
      <w:r>
        <w:t xml:space="preserve">Аннотация</w:t>
      </w:r>
    </w:p>
    <w:p>
      <w:pPr>
        <w:pStyle w:val="FirstParagraph"/>
      </w:pPr>
      <w:r>
        <w:t xml:space="preserve">ТРИВОРТЕКС — исполнимый исследовательский документ, изучающий задачу трёх (и N) тел в вихревой формулировке с топологическим интегралом Чаплыгина. Это не статья</w:t>
      </w:r>
      <w:r>
        <w:t xml:space="preserve"> </w:t>
      </w:r>
      <w:r>
        <w:rPr>
          <w:i/>
          <w:iCs/>
        </w:rPr>
        <w:t xml:space="preserve">о</w:t>
      </w:r>
      <w:r>
        <w:t xml:space="preserve"> </w:t>
      </w:r>
      <w:r>
        <w:t xml:space="preserve">вихревой модели — это</w:t>
      </w:r>
      <w:r>
        <w:t xml:space="preserve"> </w:t>
      </w:r>
      <w:r>
        <w:rPr>
          <w:i/>
          <w:iCs/>
        </w:rPr>
        <w:t xml:space="preserve">и есть</w:t>
      </w:r>
      <w:r>
        <w:t xml:space="preserve"> </w:t>
      </w:r>
      <w:r>
        <w:t xml:space="preserve">модель: интерактивный Python-том объёмом около 2 400 строк в трёх языковых зеркалах, где каждая глава — работающий участок кода: от гамильтониана Хофштадтера с вложенными вихрями через замкненное вращающееся решение (теорема 3.1) к спектральной статистике, квантово-топологическим наблюдаемым, интерактивному меню из 15 режимов и отчётному движку с семью форматами вывода. Независимая лестница верификации — код, не имеющий с документом ни одной общей строки, — заново выводит центральные утверждения из первых принципов при каждом запуске CI и сертифицирует их с остатками порядка 1e-14. Настоящая монография — сопроводительный том к исполнимому ядру: она излагает модель, теорему, сертифицированные границы и протокол воспроизведения словами, чтобы том можно было читать как книгу и исполнять как программу.</w:t>
      </w:r>
    </w:p>
    <w:bookmarkEnd w:id="20"/>
    <w:bookmarkStart w:id="21" w:name="задача-и-вихревая-переформулировка"/>
    <w:p>
      <w:pPr>
        <w:pStyle w:val="Heading2"/>
      </w:pPr>
      <w:r>
        <w:t xml:space="preserve">1. Задача и вихревая переформулировка</w:t>
      </w:r>
    </w:p>
    <w:p>
      <w:pPr>
        <w:pStyle w:val="FirstParagraph"/>
      </w:pPr>
      <w:r>
        <w:t xml:space="preserve">Попросите три массы двигаться под действием взаимного ньютоновского притяжения — и вы поставите задачу, сформировавшую три века математики. Ньютон полностью решил задачу двух тел; задача трёх тел сопротивлялась. Эйлер и Лагранж нашли точные частные решения — коллинеарные и равносторонние центральные конфигурации, вращающиеся твёрдо, как волчок. Пуанкаре, атакуя ограниченную задачу, обнаружил, что общего замкненного решения не существует, и на обломках призовой мемуары изобрёл хаос. Современная эпоха заменила невозможное</w:t>
      </w:r>
      <w:r>
        <w:t xml:space="preserve"> </w:t>
      </w:r>
      <w:r>
        <w:rPr>
          <w:i/>
          <w:iCs/>
        </w:rPr>
        <w:t xml:space="preserve">общее</w:t>
      </w:r>
      <w:r>
        <w:t xml:space="preserve"> </w:t>
      </w:r>
      <w:r>
        <w:t xml:space="preserve">решение атласом замечательных</w:t>
      </w:r>
      <w:r>
        <w:t xml:space="preserve"> </w:t>
      </w:r>
      <w:r>
        <w:rPr>
          <w:i/>
          <w:iCs/>
        </w:rPr>
        <w:t xml:space="preserve">частных</w:t>
      </w:r>
      <w:r>
        <w:t xml:space="preserve">: треугольник Лагранжа, линия Эйлера, «восьмёрка» Ансена–Монтгомери и растущий зоопарк хореографических решений. Область жива именно потому, что специальные точные решения редки и проверяемы: либо уравнения удерживают их с машинной точностью, либо нет.</w:t>
      </w:r>
    </w:p>
    <w:p>
      <w:pPr>
        <w:pStyle w:val="BodyText"/>
      </w:pPr>
      <w:r>
        <w:t xml:space="preserve">Именно на этой проверяемости строится ТРИВОРТЕКС. Вихревая формулировка меняет ньютоновские массы на точечные вихри с циркуляциями — гамильтонову систему первого порядка, чьи частные решения алгебраически резки. Три «тела» — вихри с топологическими зарядами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; их кирхгофовская динамика сохраняет алгебраические инварианты; и каждый вихрь несёт эффективный поток Ааронова–Бома, так что угловой момент связывается с калибровочным полем в комбинацию, которую документ атрибутирует Чаплыгину.</w:t>
      </w:r>
    </w:p>
    <w:bookmarkEnd w:id="21"/>
    <w:bookmarkStart w:id="22" w:name="топологический-интеграл-чаплыгина"/>
    <w:p>
      <w:pPr>
        <w:pStyle w:val="Heading2"/>
      </w:pPr>
      <w:r>
        <w:t xml:space="preserve">2. Топологический интеграл Чаплыгина</w:t>
      </w:r>
    </w:p>
    <w:p>
      <w:pPr>
        <w:pStyle w:val="FirstParagraph"/>
      </w:pPr>
      <w:r>
        <w:t xml:space="preserve">Фирменная величина модели — топологический интеграл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C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̇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q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θ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связывающий калибровочный поток с вращением и служащий ручкой управления замкненным решением: заданы</w:t>
      </w:r>
      <w:r>
        <w:t xml:space="preserve"> </w:t>
      </w:r>
      <m:oMath>
        <m:sSub>
          <m:e>
            <m:r>
              <m:t>C</m:t>
            </m:r>
          </m:e>
          <m:sub>
            <m:r>
              <m:t>C</m:t>
            </m:r>
            <m:r>
              <m:t>h</m:t>
            </m:r>
          </m:sub>
        </m:sSub>
      </m:oMath>
      <w:r>
        <w:t xml:space="preserve"> </w:t>
      </w:r>
      <w:r>
        <w:t xml:space="preserve">и период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— заданы частота вращения и амплитуда радиальной модуляции. Документ сознательно честен о статусе этой комбинации: вдоль замкненной формы калибровочно-зависимая</w:t>
      </w:r>
      <w:r>
        <w:t xml:space="preserve"> </w:t>
      </w:r>
      <m:oMath>
        <m:sSub>
          <m:e>
            <m:r>
              <m:t>C</m:t>
            </m:r>
          </m:e>
          <m:sub>
            <m:r>
              <m:t>C</m:t>
            </m:r>
            <m: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колеблется вместе с радиальной модуляцией — по построению модели, — и её конечный дрейф на конечном окне записывается как</w:t>
      </w:r>
      <w:r>
        <w:t xml:space="preserve"> </w:t>
      </w:r>
      <w:r>
        <w:rPr>
          <w:i/>
          <w:iCs/>
        </w:rPr>
        <w:t xml:space="preserve">диагностика</w:t>
      </w:r>
      <w:r>
        <w:t xml:space="preserve">, а не как закон сохранения. Не зависящие от окна сохраняющиеся величины динамики — классические вихревые интегралы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I</m:t>
        </m:r>
      </m:oMath>
      <w:r>
        <w:t xml:space="preserve">, — и именно их сертифицирует численная лестница в проверках V3–V4.</w:t>
      </w:r>
    </w:p>
    <w:p>
      <w:pPr>
        <w:pStyle w:val="BlockText"/>
      </w:pPr>
      <w:r>
        <w:rPr>
          <w:b/>
          <w:bCs/>
        </w:rPr>
        <w:t xml:space="preserve">Заметка о честности.</w:t>
      </w:r>
      <w:r>
        <w:t xml:space="preserve"> </w:t>
      </w:r>
      <w:r>
        <w:t xml:space="preserve">Сертифицированный слой (хореография, периодичность, твёрдое вращение, сохранение интегралов) отделён от записываемого слоя (зависящий от окна дрейф Чаплыгина) во всём репозитории — в выводе лестницы, в pytest-защите, на сайте документации и в этой монографии.</w:t>
      </w:r>
    </w:p>
    <w:bookmarkEnd w:id="22"/>
    <w:bookmarkStart w:id="23" w:name="теорема-3.1-замкнутая-форма"/>
    <w:p>
      <w:pPr>
        <w:pStyle w:val="Heading2"/>
      </w:pPr>
      <w:r>
        <w:t xml:space="preserve">3. Теорема 3.1 — замкнутая форма</w:t>
      </w:r>
    </w:p>
    <w:p>
      <w:pPr>
        <w:pStyle w:val="FirstParagraph"/>
      </w:pPr>
      <w:r>
        <w:t xml:space="preserve">Центральный результат — лагранжево относительное равновесие с радиальной модуляцией: три вихря сохраняют точный равносторонний треугольник, вращаясь с частотой, заданной константой Чаплыгина: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C</m:t>
                  </m:r>
                </m:e>
                <m:sub>
                  <m:r>
                    <m:t>C</m:t>
                  </m:r>
                  <m:r>
                    <m:t>h</m:t>
                  </m:r>
                </m:sub>
              </m:sSub>
            </m:e>
          </m:rad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ε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π</m:t>
                  </m:r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θ</m:t>
              </m:r>
            </m:e>
            <m:sub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ω</m:t>
          </m:r>
          <m:r>
            <m:t>t</m:t>
          </m:r>
          <m:r>
            <m:rPr>
              <m:sty m:val="p"/>
            </m:rPr>
            <m:t>+</m:t>
          </m:r>
          <m:r>
            <m:t>2</m:t>
          </m:r>
          <m:r>
            <m:t>π</m:t>
          </m:r>
          <m:r>
            <m:t>k</m:t>
          </m:r>
          <m:r>
            <m:rPr>
              <m:sty m:val="p"/>
            </m:rPr>
            <m:t>/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ω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r>
                <m:t>T</m:t>
              </m:r>
            </m:den>
          </m:f>
          <m:r>
            <m:t> </m:t>
          </m:r>
          <m:sSup>
            <m:e>
              <m:r>
                <m:t>e</m:t>
              </m:r>
            </m:e>
            <m:sup>
              <m:sSub>
                <m:e>
                  <m:r>
                    <m:t>C</m:t>
                  </m:r>
                </m:e>
                <m:sub>
                  <m:r>
                    <m:t>C</m:t>
                  </m:r>
                  <m:r>
                    <m:t>h</m:t>
                  </m:r>
                </m:sub>
              </m:sSub>
              <m:r>
                <m:rPr>
                  <m:sty m:val="p"/>
                </m:rPr>
                <m:t>/</m:t>
              </m:r>
              <m:r>
                <m:t>π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ε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C</m:t>
                      </m:r>
                    </m:e>
                    <m:sub>
                      <m:r>
                        <m:t>C</m:t>
                      </m:r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Из самой формы следуют два структурных свойства, которые и сертифицирует лестница:</w:t>
      </w:r>
      <w:r>
        <w:t xml:space="preserve"> </w:t>
      </w:r>
      <w:r>
        <w:rPr>
          <w:b/>
          <w:bCs/>
        </w:rPr>
        <w:t xml:space="preserve">равносторонняя хореография</w:t>
      </w:r>
      <w:r>
        <w:t xml:space="preserve"> </w:t>
      </w:r>
      <w:r>
        <w:t xml:space="preserve">(угловые положения отличаются ровно на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в каждый момент — вихревой близнец классического треугольника Лагранжа) и</w:t>
      </w:r>
      <w:r>
        <w:t xml:space="preserve"> </w:t>
      </w:r>
      <w:r>
        <w:rPr>
          <w:b/>
          <w:bCs/>
        </w:rPr>
        <w:t xml:space="preserve">периодичность</w:t>
      </w:r>
      <w:r>
        <w:t xml:space="preserve"> </w:t>
      </w:r>
      <w:r>
        <w:t xml:space="preserve">радиальной модуляции с периодом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/</m:t>
        </m:r>
        <m:r>
          <m:t>ω</m:t>
        </m:r>
      </m:oMath>
      <w:r>
        <w:t xml:space="preserve">. Эталонные значения канонической конфигурации</w:t>
      </w:r>
      <w:r>
        <w:t xml:space="preserve"> </w:t>
      </w:r>
      <m:oMath>
        <m:sSub>
          <m:e>
            <m:r>
              <m:t>C</m:t>
            </m:r>
          </m:e>
          <m:sub>
            <m:r>
              <m:t>C</m:t>
            </m:r>
            <m:r>
              <m:t>h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t>π</m:t>
        </m:r>
      </m:oMath>
      <w:r>
        <w:t xml:space="preserve">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Величина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Значение (float64)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Проверка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частота</w:t>
            </w:r>
            <w: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</m:e>
              </m: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1.3748022274393588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pytest-пин, точно до float64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амплитуда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π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0.7276379117656014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pytest-пин, точно до float64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угловое разделение (все пробные моменты)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±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лестница V1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остаток периодичности на</w:t>
            </w:r>
            <w:r>
              <w:t xml:space="preserve"> </w:t>
            </w:r>
            <m:oMath>
              <m:r>
                <m:t>100</m:t>
              </m:r>
              <m:r>
                <m:t> </m:t>
              </m:r>
              <m:r>
                <m:t>T</m:t>
              </m:r>
            </m:oMath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лестница V1</w:t>
            </w:r>
          </w:p>
        </w:tc>
      </w:tr>
    </w:tbl>
    <w:p>
      <w:pPr>
        <w:pStyle w:val="BodyText"/>
      </w:pPr>
      <w:r>
        <w:t xml:space="preserve">У теоремы есть и численный двойник, не нуждающийся в замкнутой форме: три</w:t>
      </w:r>
      <w:r>
        <w:t xml:space="preserve"> </w:t>
      </w:r>
      <w:r>
        <w:rPr>
          <w:i/>
          <w:iCs/>
        </w:rPr>
        <w:t xml:space="preserve">одинаковых</w:t>
      </w:r>
      <w:r>
        <w:t xml:space="preserve"> </w:t>
      </w:r>
      <w:r>
        <w:t xml:space="preserve">точечных вихря, выпущенные из вершин равностороннего треугольника, интегрируются вперёд (уравнения Кирхгофа, RK4) и вращаются твёрдо с классической угловой скоростью</w:t>
      </w:r>
      <w:r>
        <w:t xml:space="preserve"> </w:t>
      </w:r>
      <m:oMath>
        <m:sSub>
          <m:e>
            <m:r>
              <m:t>ω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3</m:t>
        </m:r>
        <m:r>
          <m:t>Γ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— проверка V2, — при этом четыре классических интеграла</w:t>
      </w:r>
      <w:r>
        <w:t xml:space="preserve"> </w:t>
      </w:r>
      <m:oMath>
        <m:r>
          <m:t>H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I</m:t>
        </m:r>
      </m:oMath>
      <w:r>
        <w:t xml:space="preserve"> </w:t>
      </w:r>
      <w:r>
        <w:t xml:space="preserve">сохраняются вдоль траектории (V3), симметричны ли начальные условия или нет (V4).</w:t>
      </w:r>
    </w:p>
    <w:bookmarkEnd w:id="23"/>
    <w:bookmarkStart w:id="24" w:name="независимая-лестница-верификации"/>
    <w:p>
      <w:pPr>
        <w:pStyle w:val="Heading2"/>
      </w:pPr>
      <w:r>
        <w:t xml:space="preserve">4. Независимая лестница верификации</w:t>
      </w:r>
    </w:p>
    <w:p>
      <w:pPr>
        <w:pStyle w:val="FirstParagraph"/>
      </w:pPr>
      <w:r>
        <w:rPr>
          <w:rStyle w:val="VerbatimChar"/>
        </w:rPr>
        <w:t xml:space="preserve">verification/trivortex/python/verify.py</w:t>
      </w:r>
      <w:r>
        <w:t xml:space="preserve"> </w:t>
      </w:r>
      <w:r>
        <w:t xml:space="preserve">заново реализует — независимо, с нуля, только на numpy — всё, что проверяет: замкнутую форму, комбинацию Чаплыгина, кирхгофовскую правую часть, собственный шаг RK4. Она не разделяет с документом</w:t>
      </w:r>
      <w:r>
        <w:t xml:space="preserve"> </w:t>
      </w:r>
      <w:r>
        <w:rPr>
          <w:b/>
          <w:bCs/>
        </w:rPr>
        <w:t xml:space="preserve">ни строки кода</w:t>
      </w:r>
      <w:r>
        <w:t xml:space="preserve">, работает в трёх пресетах (</w:t>
      </w:r>
      <w:r>
        <w:rPr>
          <w:rStyle w:val="VerbatimChar"/>
        </w:rPr>
        <w:t xml:space="preserve">quick</w:t>
      </w:r>
      <w:r>
        <w:t xml:space="preserve"> </w:t>
      </w:r>
      <w:r>
        <w:t xml:space="preserve">≈ 0,5 с,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≈ 2 с,</w:t>
      </w:r>
      <w:r>
        <w:t xml:space="preserve"> </w:t>
      </w:r>
      <w:r>
        <w:rPr>
          <w:rStyle w:val="VerbatimChar"/>
        </w:rPr>
        <w:t xml:space="preserve">full</w:t>
      </w:r>
      <w:r>
        <w:t xml:space="preserve"> </w:t>
      </w:r>
      <w:r>
        <w:t xml:space="preserve">≈ 35 с) и пишет JSON-протокол с полным снимком параметров на каждый запуск. Зарегистрированные критерии и эталонные результаты: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Проверка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Утверждение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Зарегистрированный критерий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Замкнутая форма теоремы 3.1: хореография</w:t>
            </w:r>
            <w:r>
              <w:t xml:space="preserve"> </w:t>
            </w:r>
            <m:oMath>
              <m:r>
                <m:t>2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+ периодичность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разделение ≤ 1e-12; периодичность ≤ 1e-12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6,9e-14 / 9,4e-14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Треугольник Лагранжа вращается твёрдо с</w:t>
            </w:r>
            <w: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Γ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форма ≤ 1e-10; отн. ошибка ω ≤ 1e-6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1,6e-14 / 2,9e-12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Интегралы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I</m:t>
              </m:r>
            </m:oMath>
            <w:r>
              <w:t xml:space="preserve"> </w:t>
            </w:r>
            <w:r>
              <w:t xml:space="preserve">сохраняются (равные 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худший отн. дрейф ≤ 1e-10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2,9e-14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V4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Интегралы сохраняются при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</m:oMath>
            <w:r>
              <w:t xml:space="preserve">, общий треугольник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худший отн. дрейф ≤ 1e-10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2,9e-14</w:t>
            </w:r>
          </w:p>
        </w:tc>
      </w:tr>
    </w:tbl>
    <w:p>
      <w:pPr>
        <w:pStyle w:val="BodyText"/>
      </w:pPr>
      <w:r>
        <w:t xml:space="preserve">Pytest-защита из 27 тестов прикалывает аналитический слой к жёстким эталонным значениям и оборачивает лестницу в CI-форму; CI-конвейер запускает оба при каждом push и выкладывает JSON-протокол артефактом. Числа, напечатанные кодом, который их же и определяет, — это повторение; этот репозиторий настаивает на верификации.</w:t>
      </w:r>
    </w:p>
    <w:bookmarkEnd w:id="24"/>
    <w:bookmarkStart w:id="25" w:name="внутри-исполнимого-документа"/>
    <w:p>
      <w:pPr>
        <w:pStyle w:val="Heading2"/>
      </w:pPr>
      <w:r>
        <w:t xml:space="preserve">5. Внутри исполнимого документа</w:t>
      </w:r>
    </w:p>
    <w:p>
      <w:pPr>
        <w:pStyle w:val="FirstParagraph"/>
      </w:pPr>
      <w:r>
        <w:t xml:space="preserve">Одно физическое ядро, три языковых зеркала (</w:t>
      </w:r>
      <w:r>
        <w:rPr>
          <w:rStyle w:val="VerbatimChar"/>
        </w:rPr>
        <w:t xml:space="preserve">trivortex_core.py</w:t>
      </w:r>
      <w:r>
        <w:t xml:space="preserve"> </w:t>
      </w:r>
      <w:r>
        <w:t xml:space="preserve">— консоль по умолчанию;</w:t>
      </w:r>
      <w:r>
        <w:t xml:space="preserve"> </w:t>
      </w:r>
      <w:r>
        <w:rPr>
          <w:rStyle w:val="VerbatimChar"/>
        </w:rPr>
        <w:t xml:space="preserve">_ru.py</w:t>
      </w:r>
      <w:r>
        <w:t xml:space="preserve"> </w:t>
      </w:r>
      <w:r>
        <w:t xml:space="preserve">— русская;</w:t>
      </w:r>
      <w:r>
        <w:t xml:space="preserve"> </w:t>
      </w:r>
      <w:r>
        <w:rPr>
          <w:rStyle w:val="VerbatimChar"/>
        </w:rPr>
        <w:t xml:space="preserve">_en.py</w:t>
      </w:r>
      <w:r>
        <w:t xml:space="preserve"> </w:t>
      </w:r>
      <w:r>
        <w:t xml:space="preserve">— английская), каждое с одинаковой 22-секционной структурой: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№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Секция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№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Секция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Импорты и зависимости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Отчётный движок — TXT/MD/HTML/CSV/JSON/DOCX/PDF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Константы и глобальная конфигурация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Комплексные тестовые функции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Структуры данных (контейнеры результатов)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Интерактивное меню (15 режимов)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Построение гамильтониана (Хофштадтер + N вихрей)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Точка входа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Аналитическое решение (теорема 3.1)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Вычисление фазы Берри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Верификация сохранения Чаплыгина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Числа Черна (Фукуи–Хацугай–Сузуки)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Спектральная статистика (GUE/GOE/Пуассон)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Проводимость Холла TKNN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Нули дзеты и тест Монтгомери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Анализ дираковских конусов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Квантовая версия с топологическими кубитами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Спектральный форм-фактор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Пресеты реальных систем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Числовая дисперсия и IPR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Генерация графиков высокого разрешения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Показатель Ляпунова + пермутационный тест</w:t>
            </w:r>
          </w:p>
        </w:tc>
      </w:tr>
    </w:tbl>
    <w:p>
      <w:pPr>
        <w:pStyle w:val="BodyText"/>
      </w:pPr>
      <w:r>
        <w:t xml:space="preserve">Вокруг аналитического ядра документ строит четыре слоя наблюдаемых:</w:t>
      </w:r>
      <w:r>
        <w:t xml:space="preserve"> </w:t>
      </w:r>
      <w:r>
        <w:rPr>
          <w:b/>
          <w:bCs/>
        </w:rPr>
        <w:t xml:space="preserve">спектральный слой</w:t>
      </w:r>
      <w:r>
        <w:t xml:space="preserve"> </w:t>
      </w:r>
      <w:r>
        <w:t xml:space="preserve">(развёртка, статистика ⟨r⟩ против GUE/GOE/Пуассона, KS-тесты, числовая дисперсия, спектральный форм-фактор),</w:t>
      </w:r>
      <w:r>
        <w:t xml:space="preserve"> </w:t>
      </w:r>
      <w:r>
        <w:rPr>
          <w:b/>
          <w:bCs/>
        </w:rPr>
        <w:t xml:space="preserve">квантово-топологический слой</w:t>
      </w:r>
      <w:r>
        <w:t xml:space="preserve"> </w:t>
      </w:r>
      <w:r>
        <w:t xml:space="preserve">(фаза Берри, числа Черна методом Фукуи–Хацугая–Сузуки, проводимость TKNN, дираковские конусы),</w:t>
      </w:r>
      <w:r>
        <w:t xml:space="preserve"> </w:t>
      </w:r>
      <w:r>
        <w:rPr>
          <w:b/>
          <w:bCs/>
        </w:rPr>
        <w:t xml:space="preserve">слой хаоса</w:t>
      </w:r>
      <w:r>
        <w:t xml:space="preserve"> </w:t>
      </w:r>
      <w:r>
        <w:t xml:space="preserve">(показатели Ляпунова, пермутационные тесты, статистика КАМ) и</w:t>
      </w:r>
      <w:r>
        <w:t xml:space="preserve"> </w:t>
      </w:r>
      <w:r>
        <w:rPr>
          <w:b/>
          <w:bCs/>
        </w:rPr>
        <w:t xml:space="preserve">отчётный движок</w:t>
      </w:r>
      <w:r>
        <w:t xml:space="preserve">, выдающий каждый результат в форматах TXT, MD, HTML, CSV, JSON, DOCX и PDF с графиками 300 dpi.</w:t>
      </w:r>
    </w:p>
    <w:bookmarkEnd w:id="25"/>
    <w:bookmarkStart w:id="26" w:name="пресеты-реальных-астрономических-систем"/>
    <w:p>
      <w:pPr>
        <w:pStyle w:val="Heading2"/>
      </w:pPr>
      <w:r>
        <w:t xml:space="preserve">6. Пресеты реальных астрономических систем</w:t>
      </w:r>
    </w:p>
    <w:p>
      <w:pPr>
        <w:pStyle w:val="FirstParagraph"/>
      </w:pPr>
      <w:r>
        <w:t xml:space="preserve">Секция 10 подключает к модели три реальные тройки как записи</w:t>
      </w:r>
      <w:r>
        <w:t xml:space="preserve"> </w:t>
      </w:r>
      <w:r>
        <w:rPr>
          <w:rStyle w:val="VerbatimChar"/>
        </w:rPr>
        <w:t xml:space="preserve">RealSystem</w:t>
      </w:r>
      <w:r>
        <w:t xml:space="preserve"> </w:t>
      </w:r>
      <w:r>
        <w:t xml:space="preserve">— массы, характерные расстояния, характерные периоды — используемые как масштабы параметров и якоря реальности (не как эфемеридные симуляции):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Система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Тела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Диапазон масштабов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Солнце–Земля–Луна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Солнце · Земля · Луна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иерархия 1 а. е., каноническая тройка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α Центавра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α Cen A · α Cen B · Проксима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ближайшая реальная тройная система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Плутон–Харон–Никта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Плутон · Харон · Никта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динамически богатая малая тройка</w:t>
            </w:r>
          </w:p>
        </w:tc>
      </w:tr>
    </w:tbl>
    <w:p>
      <w:pPr>
        <w:pStyle w:val="BodyText"/>
      </w:pPr>
      <w:r>
        <w:t xml:space="preserve">Лестница верификации сознательно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использует их: V1–V4 работают на точных объектах модели, сохраняя сертифицированное ядро чистым от астрономического параметрического шума.</w:t>
      </w:r>
    </w:p>
    <w:bookmarkEnd w:id="26"/>
    <w:bookmarkStart w:id="27" w:name="воспроизведение"/>
    <w:p>
      <w:pPr>
        <w:pStyle w:val="Heading2"/>
      </w:pPr>
      <w:r>
        <w:t xml:space="preserve">7. Воспроизведение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https://github.com/wild8highlander/research-papers.git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research-papers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numpy scipy matplotlib mpmath</w:t>
      </w:r>
      <w:r>
        <w:br/>
      </w:r>
      <w:r>
        <w:br/>
      </w:r>
      <w:r>
        <w:rPr>
          <w:rStyle w:val="CommentTok"/>
        </w:rPr>
        <w:t xml:space="preserve"># интерактивный документ (меню: 15 режимов, зеркала RU/EN)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code/trivortex_core_ru.py</w:t>
      </w:r>
      <w:r>
        <w:br/>
      </w:r>
      <w:r>
        <w:br/>
      </w:r>
      <w:r>
        <w:rPr>
          <w:rStyle w:val="CommentTok"/>
        </w:rPr>
        <w:t xml:space="preserve"># независимая лестница верификации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verification/trivortex/python/verify.py </w:t>
      </w:r>
      <w:r>
        <w:rPr>
          <w:rStyle w:val="AttributeTok"/>
        </w:rPr>
        <w:t xml:space="preserve">--preset</w:t>
      </w:r>
      <w:r>
        <w:rPr>
          <w:rStyle w:val="NormalTok"/>
        </w:rPr>
        <w:t xml:space="preserve"> quick   </w:t>
      </w:r>
      <w:r>
        <w:rPr>
          <w:rStyle w:val="CommentTok"/>
        </w:rPr>
        <w:t xml:space="preserve"># ~0,5 с (CI)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verification/trivortex/python/verify.py </w:t>
      </w:r>
      <w:r>
        <w:rPr>
          <w:rStyle w:val="AttributeTok"/>
        </w:rPr>
        <w:t xml:space="preserve">--preset</w:t>
      </w:r>
      <w:r>
        <w:rPr>
          <w:rStyle w:val="NormalTok"/>
        </w:rPr>
        <w:t xml:space="preserve"> default </w:t>
      </w:r>
      <w:r>
        <w:rPr>
          <w:rStyle w:val="CommentTok"/>
        </w:rPr>
        <w:t xml:space="preserve"># ~2 с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verification/trivortex/python/verify.py </w:t>
      </w:r>
      <w:r>
        <w:rPr>
          <w:rStyle w:val="AttributeTok"/>
        </w:rPr>
        <w:t xml:space="preserve">--preset</w:t>
      </w:r>
      <w:r>
        <w:rPr>
          <w:rStyle w:val="NormalTok"/>
        </w:rPr>
        <w:t xml:space="preserve"> full    </w:t>
      </w:r>
      <w:r>
        <w:rPr>
          <w:rStyle w:val="CommentTok"/>
        </w:rPr>
        <w:t xml:space="preserve"># ~35 с</w:t>
      </w:r>
      <w:r>
        <w:br/>
      </w:r>
      <w:r>
        <w:br/>
      </w:r>
      <w:r>
        <w:rPr>
          <w:rStyle w:val="CommentTok"/>
        </w:rPr>
        <w:t xml:space="preserve"># pytest-защита (27 тестов)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verification/tests/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Каждый запуск лестницы пишет JSON-протокол с полным снимком параметров — приложите его к любому issue о сбойной проверке, и сбой воспроизведётся без единого уточняющего вопроса.</w:t>
      </w:r>
    </w:p>
    <w:bookmarkEnd w:id="27"/>
    <w:bookmarkStart w:id="31" w:name="провенанс-и-цитирование"/>
    <w:p>
      <w:pPr>
        <w:pStyle w:val="Heading2"/>
      </w:pPr>
      <w:r>
        <w:t xml:space="preserve">8. Провенанс и цитирование</w:t>
      </w:r>
    </w:p>
    <w:p>
      <w:pPr>
        <w:pStyle w:val="FirstParagraph"/>
      </w:pPr>
      <w:r>
        <w:t xml:space="preserve">Автор: Исаев Исхак Хамзатович (</w:t>
      </w:r>
      <w:hyperlink r:id="rId28">
        <w:r>
          <w:rPr>
            <w:rStyle w:val="Hyperlink"/>
          </w:rPr>
          <w:t xml:space="preserve">ORCID 0009-0003-7299-0701</w:t>
        </w:r>
      </w:hyperlink>
      <w:r>
        <w:t xml:space="preserve">), независимый исследователь. Версия 1.0.0 — первый публичный релиз исследовательской программы TRIVORTEX. Цитируйте через</w:t>
      </w:r>
      <w:r>
        <w:t xml:space="preserve"> </w:t>
      </w:r>
      <w:hyperlink r:id="rId29">
        <w:r>
          <w:rPr>
            <w:rStyle w:val="VerbatimChar"/>
          </w:rPr>
          <w:t xml:space="preserve">CITATION.cff</w:t>
        </w:r>
      </w:hyperlink>
      <w:r>
        <w:t xml:space="preserve">:</w:t>
      </w:r>
    </w:p>
    <w:p>
      <w:pPr>
        <w:pStyle w:val="SourceCode"/>
      </w:pPr>
      <w:r>
        <w:rPr>
          <w:rStyle w:val="VariableTok"/>
        </w:rPr>
        <w:t xml:space="preserve">@misc</w:t>
      </w:r>
      <w:r>
        <w:rPr>
          <w:rStyle w:val="NormalTok"/>
        </w:rPr>
        <w:t xml:space="preserve">{</w:t>
      </w:r>
      <w:r>
        <w:rPr>
          <w:rStyle w:val="OtherTok"/>
        </w:rPr>
        <w:t xml:space="preserve">trivortex2026isaev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     = {Isaev, Iskhak Khamzatovich},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     = {TRIVORTEX: The Three-Body (and N-Body) Problem in the</w:t>
      </w:r>
      <w:r>
        <w:br/>
      </w:r>
      <w:r>
        <w:rPr>
          <w:rStyle w:val="NormalTok"/>
        </w:rPr>
        <w:t xml:space="preserve">                  Vortex Model with the Chaplygin Topological Integral},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     = {2026},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howpublished</w:t>
      </w:r>
      <w:r>
        <w:rPr>
          <w:rStyle w:val="NormalTok"/>
        </w:rPr>
        <w:t xml:space="preserve"> = {Zenodo},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doi</w:t>
      </w:r>
      <w:r>
        <w:rPr>
          <w:rStyle w:val="NormalTok"/>
        </w:rPr>
        <w:t xml:space="preserve">          = {10.5281/zenodo.21825394},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url</w:t>
      </w:r>
      <w:r>
        <w:rPr>
          <w:rStyle w:val="NormalTok"/>
        </w:rPr>
        <w:t xml:space="preserve">          = {https://github.com/wild8highlander/research-papers}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Лицензия:</w:t>
      </w:r>
      <w:r>
        <w:t xml:space="preserve"> </w:t>
      </w:r>
      <w:r>
        <w:rPr>
          <w:rStyle w:val="VerbatimChar"/>
        </w:rPr>
        <w:t xml:space="preserve">LicenseRef-Proprietary-Wild8Highlander-1.0</w:t>
      </w:r>
      <w:r>
        <w:t xml:space="preserve"> </w:t>
      </w:r>
      <w:r>
        <w:t xml:space="preserve">— личное, исследовательское и образовательное использование с указанием авторства; распространение и коммерческое использование требуют письменного разрешения автора. Сайт документации:</w:t>
      </w:r>
      <w:r>
        <w:t xml:space="preserve"> </w:t>
      </w:r>
      <w:hyperlink r:id="rId30">
        <w:r>
          <w:rPr>
            <w:rStyle w:val="Hyperlink"/>
          </w:rPr>
          <w:t xml:space="preserve">wild8highlander.github.io/research-papers</w:t>
        </w:r>
      </w:hyperlink>
      <w:r>
        <w:t xml:space="preserve">.</w:t>
      </w:r>
    </w:p>
    <w:bookmarkEnd w:id="31"/>
    <w:bookmarkEnd w:id="32"/>
    <w:sectPr>
      <w:footerReference w:type="default" r:id="rId9"/>
      <w:pgMar w:top="1191" w:bottom="1191" w:left="1247" w:right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A6472"/>
        <w:sz w:val="16"/>
      </w:rPr>
    </w:r>
    <w:r>
      <w:rPr>
        <w:rFonts w:ascii="Liberation Sans" w:hAnsi="Liberation Sans"/>
        <w:color w:val="5A6472"/>
        <w:sz w:val="16"/>
      </w:rPr>
      <w:t xml:space="preserve">TRIVORTEX Research Program · v1.0.0 · </w:t>
    </w:r>
    <w:r>
      <w:rPr>
        <w:rFonts w:ascii="Liberation Sans" w:hAnsi="Liberation Sans"/>
        <w:color w:val="5A6472"/>
        <w:sz w:val="16"/>
      </w:rPr>
      <w:fldChar w:fldCharType="begin"/>
      <w:instrText xml:space="preserve">PAGE</w:instrText>
      <w:fldChar w:fldCharType="end"/>
    </w:r>
    <w:r>
      <w:rPr>
        <w:rFonts w:ascii="Liberation Sans" w:hAnsi="Liberation Sans"/>
        <w:color w:val="5A6472"/>
        <w:sz w:val="16"/>
      </w:rPr>
      <w:t xml:space="preserve"> / </w:t>
    </w:r>
    <w:r>
      <w:rPr>
        <w:rFonts w:ascii="Liberation Sans" w:hAnsi="Liberation Sans"/>
        <w:color w:val="5A6472"/>
        <w:sz w:val="16"/>
      </w:rPr>
      <w:fldChar w:fldCharType="begin"/>
      <w:instrText xml:space="preserve"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07" w:lineRule="auto" w:after="100"/>
    </w:pPr>
    <w:rPr>
      <w:rFonts w:ascii="Liberation Serif" w:hAnsi="Liberation Serif" w:cs="Liberation Serif" w:eastAsia="Liberation Serif"/>
      <w:color w:val="1C2536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Liberation Sans" w:hAnsi="Liberation Sans" w:cs="Liberation Sans" w:eastAsia="Liberation Sans"/>
      <w:b/>
      <w:bCs/>
      <w:color w:val="0A1A3A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Liberation Sans" w:hAnsi="Liberation Sans" w:cs="Liberation Sans" w:eastAsia="Liberation Sans"/>
      <w:b w:val="0"/>
      <w:color w:val="5A6472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Liberation Serif" w:hAnsi="Liberation Serif" w:cs="Liberation Serif" w:eastAsia="Liberation Serif"/>
      <w:color w:val="3D3A28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9" Type="http://schemas.openxmlformats.org/officeDocument/2006/relationships/hyperlink" Target="https://github.com/wild8highlander/research-papers/blob/main/CITATION.cff" TargetMode="External"/><Relationship Id="rId28" Type="http://schemas.openxmlformats.org/officeDocument/2006/relationships/hyperlink" Target="https://orcid.org/0009-0003-7299-0701" TargetMode="External"/><Relationship Id="rId30" Type="http://schemas.openxmlformats.org/officeDocument/2006/relationships/hyperlink" Target="https://wild8highlander.github.io/research-papers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github.com/wild8highlander/research-papers/blob/main/CITATION.cff" TargetMode="External"/><Relationship Id="rId28" Type="http://schemas.openxmlformats.org/officeDocument/2006/relationships/hyperlink" Target="https://orcid.org/0009-0003-7299-0701" TargetMode="External"/><Relationship Id="rId30" Type="http://schemas.openxmlformats.org/officeDocument/2006/relationships/hyperlink" Target="https://wild8highlander.github.io/research-pap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ТРИВОРТЕКС: задача трёх (и N) тел в вихревой модели с топологическим интегралом Чаплыгина</dc:title>
  <dc:creator>Isaev Iskhak Khamzatovich</dc:creator>
  <dc:language>ru</dc:language>
  <cp:keywords>TRIVORTEX, three-body, vortex, 10.5281/zenodo.21825394</cp:keywords>
  <dcterms:created xsi:type="dcterms:W3CDTF">2026-10-07T06:44:44Z</dcterms:created>
  <dcterms:modified xsi:type="dcterms:W3CDTF">2026-10-07T06:44:44Z</dcterms:modified>
  <cp:lastModifiedBy>Isaev Iskhak Khamzatovich</cp:lastModifiedBy>
  <dc:subject>TRIVORTEX Research Program</dc:subject>
  <dc:description>TRIVORTEX Research Program, version 1.0.0. DOI 10.5281/zenodo.21825394. ORCID 0009-0003-7299-0701.</dc:description>
  <cp:category>Research monograph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