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Резонансное трёхволновое взаимодействие (Мэнли–Роу, χ⁽²⁾-оптика)</w:t>
      </w:r>
    </w:p>
    <w:p>
      <w:pPr>
        <w:pStyle w:val="Author"/>
      </w:pPr>
      <w:r>
        <w:t xml:space="preserve">Isaev Iskhak Khamzatovich</w:t>
      </w:r>
    </w:p>
    <w:bookmarkStart w:id="52" w:name="X49c8bbe89fca0a81c0e5ff3b47615d3565f7d79"/>
    <w:p>
      <w:pPr>
        <w:pStyle w:val="Heading1"/>
      </w:pPr>
      <w:r>
        <w:t xml:space="preserve">Резонансное трёхволновое взаимодействие (Мэнли–Роу, χ⁽²⁾-оптика)</w:t>
      </w:r>
    </w:p>
    <w:p>
      <w:pPr>
        <w:pStyle w:val="FirstParagraph"/>
      </w:pPr>
      <w:r>
        <w:rPr>
          <w:i/>
          <w:iCs/>
        </w:rPr>
        <w:t xml:space="preserve">Исследовательская программа TRIVORTEX · v1.0.0 · Издание монографий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 / 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TRX-02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Программа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TRIVORTEX — задача трёх тел в вихревой модели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Исаев Исхак Хамзатович (ORCID 0009-0003-7299-0701)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10.5281/zenodo.21825394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2026-10-06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research/TRX-XX/code/trx02_three_wave_mixing.py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results/trx02_results.json</w:t>
            </w:r>
          </w:p>
        </w:tc>
      </w:tr>
    </w:tbl>
    <w:bookmarkStart w:id="20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Монография посвящена резонансному трёхволновому взаимодействию в кристалле χ⁽²⁾ без потерь и с идеальным фазовым согласованием — канонической задаче трёх тел нелинейной оптики. Три комплексные амплитуды (накачка, сигнал, холостая волна) подчиняются уравнениям с равными связями — гамильтоновой системе, канонически эквивалентной волчку Эйлера и, следовательно, задаче Кирхгофа о трёх вихрях, составляющей ядро TRIVORTEX. Исследование верифицирует интегрируемую структуру с машинной точностью: за T = 50 — около 8.8 полных циклов обмена — инварианты Мэнли–Роу дрейфуют не более чем на 5.329071e-15, более чем на четыре порядка ниже допуска 1e-10; обмен строго периодичен с T_ex = 5.650961242, соседние периоды совпадают с точностью 8.7e-8; накачка испытывает подлинное полное истощение, проседая до |a₃|² = 6.3e-5 (снято 99.994% пика 1.04) и возрождаясь с ошибкой 2.4e-15; вырожденный канал воспроизводит замкнутый закон конверсии η(t) = tanh²(At) с точностью 2.220446e-16 — одна единица последнего разряда двойной точности. Развёртка по начальной амплитуде накачки показывает монотонную перестройку периода обмена от 9.03 до 3.56. Все семь контрольных проверок проходят.</w: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pStyle w:val="FirstParagraph"/>
      </w:pPr>
      <w:r>
        <w:rPr>
          <w:b/>
          <w:bCs/>
        </w:rPr>
        <w:t xml:space="preserve">Краткие сведения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Аспект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Нелинейная оптика — исследование 02 из 12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резонансное трёхволновое взаимодействие в кристалле χ⁽²⁾ (равные связи, Δk =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Ключевой инвариант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инварианты Мэнли–Роу I₁, I₂, I₃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Главный результат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дрейф инвариантов ≤ 5.4e-15 за T = 50; ошибка SHG-формулы 2.2e-16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проверок PASS (полный режим)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выполнения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0.6 с полный · &lt; 20 с smoke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Аннотация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Введение и исторический контекст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Физическая формулировка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Математическая модель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Связь с фреймворком TRIVORTEX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Численный метод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Результаты и анализ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Обсуждение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Список литературы</w:t>
      </w:r>
      <w:r>
        <w:t xml:space="preserve"> </w:t>
      </w:r>
      <w:r>
        <w:t xml:space="preserve">Приложение A. Таблица параметров</w:t>
      </w:r>
      <w:r>
        <w:t xml:space="preserve"> </w:t>
      </w:r>
      <w:r>
        <w:t xml:space="preserve">Приложение B. Воспроизведение</w:t>
      </w:r>
    </w:p>
    <w:bookmarkEnd w:id="21"/>
    <w:bookmarkStart w:id="22" w:name="введение-и-исторический-контекст"/>
    <w:p>
      <w:pPr>
        <w:pStyle w:val="Heading2"/>
      </w:pPr>
      <w:r>
        <w:t xml:space="preserve">1. Введение и исторический контекст</w:t>
      </w:r>
    </w:p>
    <w:p>
      <w:pPr>
        <w:pStyle w:val="FirstParagraph"/>
      </w:pPr>
      <w:r>
        <w:t xml:space="preserve">История начинается с самого лазера: в 1961 году Франкен, Хилл, Питерс и Вайнрайх наблюдали генерацию второй гармоники — свет, выходящий из кварцевого кристалла ровно на удвоенной частоте рубинового лазера, — и основали нелинейную оптику. Уже через год Армстронг, Блумберген, Дюкюэн и Першан (1962) записали уравнения связанных волн, которые до сих пор остаются рабочим языком области, а Кролл (1962) предложил параметрическое усиление в протяжённых средах. Первый оптический параметрический генератор Джордмейна и Миллера (1965) на LiNbO₃ превратил трёхволновое взаимодействие в практический перестраиваемый источник света — роль, которую параметрические приборы играют и сегодня.</w:t>
      </w:r>
    </w:p>
    <w:p>
      <w:pPr>
        <w:pStyle w:val="BodyText"/>
      </w:pPr>
      <w:r>
        <w:t xml:space="preserve">Законы сохранения этой области старше её оптической реализации. Мэнли и Роу (1956) вывели свои общие энергетические соотношения для нелинейных элементов ещё в микроволновую эпоху, и на оптику они переносятся дословно: комбинации потоков фотонов во взаимодействующих волнах остаются постоянными. В резонансной трёхволновой системе соотношения Мэнли–Роу — не просто бухгалтерия: это точные инварианты, делающие динамику интегрируемой, прямой аналог интегралов циркуляции вихревого движения идеальной жидкости.</w:t>
      </w:r>
    </w:p>
    <w:p>
      <w:pPr>
        <w:pStyle w:val="BodyText"/>
      </w:pPr>
      <w:r>
        <w:t xml:space="preserve">Сама интегрируемость стала классической темой. Кауп, Рейман и Берс (1979) систематизировали пространственно-временную эволюцию нелинейных трёхволновых взаимодействий в обзоре Reviews of Modern Physics, выписав солитонные решения и сведение системы к интегрируемым каноническим формам; случай равных связей канонически эквивалентен волчку Эйлера — свободному вращению твёрдого тела. Современная значимость перечисляется легко: оптические параметрические генераторы и усилители, источники сжатого света для гравитационно-волновых детекторов, генерация терагерца и технология частотных гребёнок работают ровно на этом трёхволновом двигателе.</w:t>
      </w:r>
    </w:p>
    <w:p>
      <w:pPr>
        <w:pStyle w:val="BodyText"/>
      </w:pPr>
      <w:r>
        <w:t xml:space="preserve">Для TRIVORTEX значимость структурна. Ядро программы — интегрируемая триада: три вихря Кирхгофа с квадратичными законами сохранения и периодической хореографией (теорема 3.1 с её замкнутой формой). Резонансная трёхволновая система — оптический близнец этой триады: квадратичные инварианты (Мэнли–Роу), периодическая хореография (истощение и возрождение накачки с периодом T_ex) и якорь в виде замкнутого решения (закон tanh² генерации второй гармоники). Верификация этого близнеца с машинной точностью — естественный второй шаг программы, сразу вслед за небесным близнецом TRX-01.</w:t>
      </w:r>
    </w:p>
    <w:bookmarkEnd w:id="22"/>
    <w:bookmarkStart w:id="23" w:name="физическая-формулировка"/>
    <w:p>
      <w:pPr>
        <w:pStyle w:val="Heading2"/>
      </w:pPr>
      <w:r>
        <w:t xml:space="preserve">2. Физическая формулировка</w:t>
      </w:r>
    </w:p>
    <w:p>
      <w:pPr>
        <w:pStyle w:val="FirstParagraph"/>
      </w:pPr>
      <w:r>
        <w:t xml:space="preserve">Физическая система — нелинейный кристалл χ⁽²⁾ (например, MgO:LiNbO₃), в котором распространяются три коллинеарные плоские волны: накачка на ω₃, сигнал на ω₁ и холостая волна на ω₂ с резонансными условиями ω₃ = ω₁ + ω₂ (согласование энергий) и k₃ = k₁ + k₂, то есть Δk = 0 (согласование импульсов). На фотонном языке нелинейная поляризация превращает один фотон накачки в пару «сигнал — холостая волна» и обратно; на классическом языке три комплексные амплитуды связаны восприимчивостью второго порядка и обмениваются потоком, оставаясь в пассивной среде без потерь.</w:t>
      </w:r>
    </w:p>
    <w:p>
      <w:pPr>
        <w:pStyle w:val="BodyText"/>
      </w:pPr>
      <w:r>
        <w:t xml:space="preserve">При равных нормированных связях обмен потоком становится точным оптическим образом вращения свободного твёрдого тела (волчок Эйлера): потоки фотонов |a_k|² играют роль квадратов компонент момента импульса, инварианты Мэнли–Роу фиксируют инвариантные плоскости, а траектория — замкнутый периодический цикл на их пересечении. Накачка выливается в пару «сигнал — холостая волна» и вновь наполняется — период обмена T_ex и есть период этой хореографии, — а вырожденный канал a₁ = a₂ (генерация второй гармоники) сводится к однострочной замкнутой формуле, служащей верификационным якорем.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Параметр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a₁(0), a₂(0)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0.2, 0.3 (вещественные)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затравочные амплитуды сигнала и холостой волны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a₃(0)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1.0·i (фаза π/2)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затравка накачки; фаза выбрана так, что Im(Z) ≠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коэффициенты связи γ₁, γ₂, γ₃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1 (нормированные)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равная связь, среда без потерь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фазовое согласование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Δk = 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идеальное коллинеарное согласование, без расстройки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= 50, DOP853, rtol = atol = 1e-13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max_step 0.02, плотный вывод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SHG-канал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s(0) = A = 1, p(0) = 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вырожденный предел для эталона tanh²</w:t>
            </w:r>
          </w:p>
        </w:tc>
      </w:tr>
    </w:tbl>
    <w:bookmarkEnd w:id="23"/>
    <w:bookmarkStart w:id="24" w:name="математическая-модель"/>
    <w:p>
      <w:pPr>
        <w:pStyle w:val="Heading2"/>
      </w:pPr>
      <w:r>
        <w:t xml:space="preserve">3. Математическая модель</w:t>
      </w:r>
    </w:p>
    <w:p>
      <w:pPr>
        <w:pStyle w:val="FirstParagraph"/>
      </w:pPr>
      <w:r>
        <w:t xml:space="preserve">Отправляясь от уравнений Максвелла с нелинейной поляризацией второго порядка P_NL = ε₀χ⁽²⁾E², подставляем три монохроматические волны и применяем приближение медленно меняющихся огибающих. При идеальном фазовом согласовании Δk = 0 обратные волны и члены третьего порядка выпадают, а после стандартной нормировки потоков каждая волна описывается комплексной амплитудой a_k, где |a_k|² пропорционален потоку фотонов; коэффициенты связи становятся равными целыми числами, которые масштабом сводятся к единице. Получается резонансная система (E1) — гамильтонова, с энергией H = a₁a₂a₃* + a₁</w:t>
      </w:r>
      <w:r>
        <w:rPr>
          <w:i/>
          <w:iCs/>
        </w:rPr>
        <w:t xml:space="preserve">a₂</w:t>
      </w:r>
      <w:r>
        <w:t xml:space="preserve">a₃: оптический образ твёрдого тела, меняющего оси вращения по одному фотонному паре за раз.</w:t>
      </w:r>
    </w:p>
    <w:p>
      <w:pPr>
        <w:pStyle w:val="BodyText"/>
      </w:pPr>
      <w:r>
        <w:t xml:space="preserve">Инварианты (E2) следуют прямой подстановкой: дифференцируя |a₁|² + |a₃|² по уравнениям (E1), получаем 2Re(a₁</w:t>
      </w:r>
      <w:r>
        <w:rPr>
          <w:i/>
          <w:iCs/>
        </w:rPr>
        <w:t xml:space="preserve">·ia₂</w:t>
      </w:r>
      <w:r>
        <w:t xml:space="preserve">a₃) + 2Re(a₃</w:t>
      </w:r>
      <w:r>
        <w:rPr>
          <w:i/>
          <w:iCs/>
        </w:rPr>
        <w:t xml:space="preserve">·ia₁a₂), а поскольку a₃</w:t>
      </w:r>
      <w:r>
        <w:t xml:space="preserve">a₁a₂ сопряжено к a₁a₂a₃*, члены сокращаются тождественно — аналогично для I₂ и I₃. Геометрически траектория удерживается на пересечении трёх инвариантных поверхностей в шестимерном вещественном пространстве амплитуд, что сводит динамику к одной периодической степени свободы: замкнутые орбиты, точный период T_ex и никакого хаоса.</w:t>
      </w:r>
    </w:p>
    <w:p>
      <w:pPr>
        <w:pStyle w:val="BodyText"/>
      </w:pPr>
      <w:r>
        <w:t xml:space="preserve">Вырожденный канал фиксирует a₁ = a₂ = s, a₃ = p. Система сворачивается к ds/dt = i p s*, dp/dt = i s² с единственным инвариантом |s|² + |p|² = const, а при s(0) = A, p(0) = 0 интегрируется в элементарных функциях: s = A sech(At), p = iA tanh(At), откуда плосковолновый закон конверсии η = tanh²(At) формулы (E3). Эта замкнутая форма играет роль точного якоря: любой интегратор, нормировка связи или фазовая конвенция обязаны её воспроизводить — исследование использует её именно так.</w:t>
      </w:r>
    </w:p>
    <w:p>
      <w:pPr>
        <w:pStyle w:val="BodyText"/>
      </w:pPr>
      <w:r>
        <w:rPr>
          <w:b/>
          <w:bCs/>
        </w:rPr>
        <w:t xml:space="preserve">Нотация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a₁, a₂, a₃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комплексные амплитуды сигнала, холостой волны и накачки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a*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комплексное сопряжение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a_k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I₁, I₂, I₃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инварианты Мэнли–Роу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коэффициенты связи (после нормировки все равны 1)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Δk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фазовая расстройка k₃ − k₁ − k₂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 обмена между соседними максимумами накачки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η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эффективность SHG-конверсии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начальная амплитуда SHG-канала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t, 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и интервал интегрирования (безразмерные)</w:t>
            </w:r>
          </w:p>
        </w:tc>
      </w:tr>
    </w:tbl>
    <w:p>
      <w:pPr>
        <w:pStyle w:val="BodyText"/>
      </w:pPr>
      <w:r>
        <w:rPr>
          <w:b/>
          <w:bCs/>
        </w:rPr>
        <w:t xml:space="preserve">(E1)</w:t>
      </w:r>
      <w:r>
        <w:t xml:space="preserve"> </w:t>
      </w:r>
      <w:r>
        <w:t xml:space="preserve">Резонансные уравнения трёх волн (равные связи, Δk = 0).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i</m:t>
          </m:r>
          <m:r>
            <m:t> </m:t>
          </m:r>
          <m:sSubSup>
            <m:e>
              <m:r>
                <m:t>a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i</m:t>
          </m:r>
          <m:r>
            <m:t> 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i</m:t>
          </m:r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(E2)</w:t>
      </w:r>
      <w:r>
        <w:t xml:space="preserve"> </w:t>
      </w:r>
      <w:r>
        <w:t xml:space="preserve">Инварианты Мэнли–Роу (фотонная бухгалтерия пар).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(E3)</w:t>
      </w:r>
      <w:r>
        <w:t xml:space="preserve"> </w:t>
      </w:r>
      <w:r>
        <w:t xml:space="preserve">Вырожденный (SHG) канал: замкнутая формула плосковолновой конверсии.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tanh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r>
            <m:t>i</m:t>
          </m:r>
          <m:r>
            <m:t>A</m:t>
          </m:r>
          <m:r>
            <m:t> </m:t>
          </m:r>
          <m:r>
            <m:rPr>
              <m:sty m:val="p"/>
            </m:rPr>
            <m:t>tanh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t>t</m:t>
              </m:r>
            </m:e>
          </m:d>
        </m:oMath>
      </m:oMathPara>
    </w:p>
    <w:bookmarkEnd w:id="24"/>
    <w:bookmarkStart w:id="25" w:name="связь-с-фреймворком-trivortex"/>
    <w:p>
      <w:pPr>
        <w:pStyle w:val="Heading2"/>
      </w:pPr>
      <w:r>
        <w:t xml:space="preserve">4. Связь с фреймворком TRIVORTEX</w:t>
      </w:r>
    </w:p>
    <w:p>
      <w:pPr>
        <w:pStyle w:val="FirstParagraph"/>
      </w:pPr>
      <w:r>
        <w:t xml:space="preserve">Соответствие TRIVORTEX взаимно-однозначно на структурном уровне. Три комплексные амплитуды образуют интегрируемую триаду в точности как три вихря Кирхгофа: соотношения Мэнли–Роу I₁, I₂, I₃ играют роль интегралов вихрей H, P, Q, I, периодический цикл «истощение — возрождение» накачки — это оптическая хореография, зеркальная вращению вихревого треугольника, а эквивалентность случая равных связей волчку Эйлера относит обе задачи к одному интегрируемому семейству, дарящему кирхгофовской задаче её эллиптические решения. Общим оказывается и стиль верификации: закон tanh² заякоривает численную схему замкнутой формой — в том же духе, что и замкнутая форма теоремы 3.1, а фотонная бухгалтерия пар в соотношениях Мэнли–Роу — точный оптический аналог бухгалтерии циркуляций в вихревой модели. Поэтому TRX-02 служит оптическим близнецом ядра программы и питает керровское расширение (TRX-04), вихревую верификацию (TRX-09) и динамику трёх тел с излучением (TRX-11).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Величина исследования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Аналог в TRIVORTEX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 комплексные амплитуды a₁, a₂, a₃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вихря Γ₁, Γ₂, Γ₃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 триады интегрируемы с квадратичными инвариантами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Инварианты Мэнли–Роу I₁, I₂, I₃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интегралы вихрей H, P, Q, I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квадратичные законы сохранения, закрепляющие орбиту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Цикл истощения/возрождения накачки T_ex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хореографический обмен вихревого треугольника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периодическая циркуляция «энергии» по триаде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Эквивалентность волчку Эйлера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эквивалентность Кирхгофа для трёх вихрей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одно интегрируемое семейство; общие эллиптические решения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Замкнутая форма SHG tanh²(At)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замкнутая форма теоремы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точное решение, заякоривающее численную схему</w:t>
            </w:r>
          </w:p>
        </w:tc>
      </w:tr>
    </w:tbl>
    <w:bookmarkEnd w:id="25"/>
    <w:bookmarkStart w:id="26" w:name="численный-метод"/>
    <w:p>
      <w:pPr>
        <w:pStyle w:val="Heading2"/>
      </w:pPr>
      <w:r>
        <w:t xml:space="preserve">5. Численный метод</w:t>
      </w:r>
    </w:p>
    <w:p>
      <w:pPr>
        <w:pStyle w:val="FirstParagraph"/>
      </w:pPr>
      <w:r>
        <w:t xml:space="preserve">Три комплексные амплитуды расщепляются на шесть вещественных ОДУ (вещественные и мнимые части) и интегрируются явной схемой Дормана–Принса 8(5,3) с rtol = atol = 1e-13, max_step = 0.02 на t ∈ [0, 50] с плотным выводом. Инварианты Мэнли–Роу вычисляются поточечно на 2500 выборках вдоль траектории, а их максимальное отклонение от начальных значений (I₁ = 1.04, I₂ = 1.09, I₃ = −0.05) записывается как проверка дрейфа; то же плотное решение поставляет ряды потоков фотонов для рисунков.</w:t>
      </w:r>
    </w:p>
    <w:p>
      <w:pPr>
        <w:pStyle w:val="BodyText"/>
      </w:pPr>
      <w:r>
        <w:t xml:space="preserve">Период обмена извлекается из потока накачки |a₃|²: локальные максимумы находятся на плотной сетке из 20001 выборки и уточняются ограниченной одномерной минимизацией с xatol = 1e-13. Два соседних уточнённых максимума дают T_ex1 = 5.650961242 и T_ex2 = 5.650961155 — повторяемость 8.7e-8 при допуске 1e-6, — а потоки в этих максимумах различаются на 2.4e-15 (проверка возрождения). Полное истощение проверяется против порога 5%: минимум накачки на плотной сетке достигает 6.3e-5 от пикового потока 1.04.</w:t>
      </w:r>
    </w:p>
    <w:p>
      <w:pPr>
        <w:pStyle w:val="BodyText"/>
      </w:pPr>
      <w:r>
        <w:t xml:space="preserve">Вырожденный канал интегрируется с тем же допуском из s(0) = 1, p(0) = 0 и сравнивается с η(t) = tanh²(At) на 60 точках по t ∈ [0.05, 3]; максимальное отклонение — SHG-проверка. Развёртка для fig03 (17 начальных амплитуд накачки в [0.4, 2.0], T = 50, rtol = 1e-10) вычисляется только в режиме –figures и сохраняется в блок figures JSON-протокола. Каждая проверка хранит значение, цель, допуск, единицу и флаг прохождения; прогоны детерминированы, без доступа к сети и без случайных зёрен.</w:t>
      </w:r>
    </w:p>
    <w:bookmarkEnd w:id="26"/>
    <w:bookmarkStart w:id="44" w:name="результаты-и-анализ"/>
    <w:p>
      <w:pPr>
        <w:pStyle w:val="Heading2"/>
      </w:pPr>
      <w:r>
        <w:t xml:space="preserve">6. Результаты и анализ</w:t>
      </w:r>
    </w:p>
    <w:bookmarkStart w:id="30" w:name="fig01-resonance-geometry"/>
    <w:p>
      <w:pPr>
        <w:pStyle w:val="Heading3"/>
      </w:pPr>
      <w:r>
        <w:t xml:space="preserve">fig01 resonance geometry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Обзор модели: резонансная геометрия триады волн и начальная фотонная бухгалтерия потоков." title="" id="28" name="Picture"/>
            <a:graphic>
              <a:graphicData uri="http://schemas.openxmlformats.org/drawingml/2006/picture">
                <pic:pic>
                  <pic:nvPicPr>
                    <pic:cNvPr descr="../figures/fig01_resonance_geometr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Обзор модели: резонансная геометрия триады волн и начальная фотонная бухгалтерия потоков.</w:t>
      </w:r>
    </w:p>
    <w:p>
      <w:pPr>
        <w:pStyle w:val="BodyText"/>
      </w:pPr>
      <w:r>
        <w:rPr>
          <w:i/>
          <w:iCs/>
        </w:rPr>
        <w:t xml:space="preserve">Обзор модели: резонансная геометрия триады волн и начальная фотонная бухгалтерия потоков.</w:t>
      </w:r>
      <w:r>
        <w:t xml:space="preserve"> </w:t>
      </w:r>
      <w:r>
        <w:t xml:space="preserve">Панель (a) показывает фотонно-энергетическую диаграмму резонансной триады: фотон накачки при ω₃ = ω₁ + ω₂ распадается на пару «сигнал — холостая волна» (параметрическая расщепка) с обратным каналом суммарной частоты; панель (b) складывает начальные потоки |a₁|² = 0.04, |a₂|² = 0.09, |a₃|² = 1.00 в пары Мэнли–Роу I₁ = 1.04 и I₂ = 1.09.</w:t>
      </w:r>
    </w:p>
    <w:bookmarkEnd w:id="30"/>
    <w:bookmarkStart w:id="34" w:name="fig02-pump-depletion"/>
    <w:p>
      <w:pPr>
        <w:pStyle w:val="Heading3"/>
      </w:pPr>
      <w:r>
        <w:t xml:space="preserve">fig02 pump depletion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Главный результат: периодическое истощение и возрождение накачки на T = 50 с увеличенным циклом обмена." title="" id="32" name="Picture"/>
            <a:graphic>
              <a:graphicData uri="http://schemas.openxmlformats.org/drawingml/2006/picture">
                <pic:pic>
                  <pic:nvPicPr>
                    <pic:cNvPr descr="../figures/fig02_pump_depleti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Главный результат: периодическое истощение и возрождение накачки на T = 50 с увеличенным циклом обмена.</w:t>
      </w:r>
    </w:p>
    <w:p>
      <w:pPr>
        <w:pStyle w:val="BodyText"/>
      </w:pPr>
      <w:r>
        <w:rPr>
          <w:i/>
          <w:iCs/>
        </w:rPr>
        <w:t xml:space="preserve">Главный результат: периодическое истощение и возрождение накачки на T = 50 с увеличенным циклом обмена.</w:t>
      </w:r>
      <w:r>
        <w:t xml:space="preserve"> </w:t>
      </w:r>
      <w:r>
        <w:t xml:space="preserve">За T = 50 накачка совершает около 8.8 полных циклов (T_ex = 5.650961242): она проседает до |a₃|² = 6.3e-5 — снято 99.994% пика 1.04 — и возрождается с ошибкой 2.4e-15; на увеличении видны уточнённые максимумы и стрелка периода обмена.</w:t>
      </w:r>
    </w:p>
    <w:bookmarkEnd w:id="34"/>
    <w:bookmarkStart w:id="38" w:name="fig03-parameter-sweep"/>
    <w:p>
      <w:pPr>
        <w:pStyle w:val="Heading3"/>
      </w:pPr>
      <w:r>
        <w:t xml:space="preserve">fig03 parameter sweep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Развёртка по начальной амплитуде накачки |a₃(0)| ∈ [0.4, 2.0]: период обмена и глубина истощения." title="" id="36" name="Picture"/>
            <a:graphic>
              <a:graphicData uri="http://schemas.openxmlformats.org/drawingml/2006/picture">
                <pic:pic>
                  <pic:nvPicPr>
                    <pic:cNvPr descr="../figures/fig03_parameter_sweep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Развёртка по начальной амплитуде накачки |a₃(0)| ∈ [0.4, 2.0]: период обмена и глубина истощения.</w:t>
      </w:r>
    </w:p>
    <w:p>
      <w:pPr>
        <w:pStyle w:val="BodyText"/>
      </w:pPr>
      <w:r>
        <w:rPr>
          <w:i/>
          <w:iCs/>
        </w:rPr>
        <w:t xml:space="preserve">Развёртка по начальной амплитуде накачки |a₃(0)| ∈ [0.4, 2.0]: период обмена и глубина истощения.</w:t>
      </w:r>
      <w:r>
        <w:t xml:space="preserve"> </w:t>
      </w:r>
      <w:r>
        <w:t xml:space="preserve">По 17 прогонам (T = 50, rtol = 1e-10) период обмена монотонно убывает от 9.028821 до 3.556606, а глубина истощения min/max величины |a₃|² не превышает 5.2e-6 — весь диапазон развёртки прокачан до практически полной конверсии.</w:t>
      </w:r>
    </w:p>
    <w:bookmarkEnd w:id="38"/>
    <w:bookmarkStart w:id="42" w:name="fig04-invariants-shg"/>
    <w:p>
      <w:pPr>
        <w:pStyle w:val="Heading3"/>
      </w:pPr>
      <w:r>
        <w:t xml:space="preserve">fig04 invariants shg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Диагностика динамики: остатки Мэнли–Роу вдоль орбиты и сравнение с замкнутой формулой SHG." title="" id="40" name="Picture"/>
            <a:graphic>
              <a:graphicData uri="http://schemas.openxmlformats.org/drawingml/2006/picture">
                <pic:pic>
                  <pic:nvPicPr>
                    <pic:cNvPr descr="../figures/fig04_invariants_shg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Диагностика динамики: остатки Мэнли–Роу вдоль орбиты и сравнение с замкнутой формулой SHG.</w:t>
      </w:r>
    </w:p>
    <w:p>
      <w:pPr>
        <w:pStyle w:val="BodyText"/>
      </w:pPr>
      <w:r>
        <w:rPr>
          <w:i/>
          <w:iCs/>
        </w:rPr>
        <w:t xml:space="preserve">Диагностика динамики: остатки Мэнли–Роу вдоль орбиты и сравнение с замкнутой формулой SHG.</w:t>
      </w:r>
      <w:r>
        <w:t xml:space="preserve"> </w:t>
      </w:r>
      <w:r>
        <w:t xml:space="preserve">Остатки инвариантов держатся на уровне 1e-15 (максимум 5.3e-15 против допуска 1e-10), а вырожденный канал следует за η(t) = tanh²(At) с точностью 2.220446e-16 — одна единица последнего разряда двойной точности.</w:t>
      </w:r>
    </w:p>
    <w:p>
      <w:pPr>
        <w:pStyle w:val="BodyText"/>
      </w:pPr>
      <w:r>
        <w:rPr>
          <w:b/>
          <w:bCs/>
        </w:rPr>
        <w:t xml:space="preserve">Инварианты.</w:t>
      </w:r>
      <w:r>
        <w:t xml:space="preserve"> </w:t>
      </w:r>
      <w:r>
        <w:t xml:space="preserve">За полный прогон T = 50 (около 8.8 циклов обмена) дрейфы Мэнли–Роу составляют 5.329071e-15 для I₁, 4.218847e-15 для I₂ и 4.496403e-15 для I₃ — более чем на четыре порядка ниже допуска 1e-10 и на уровне округления двойной точности. Орбита, таким образом, точно удерживается на пересечении инвариантных поверхностей — в этом геометрическое содержание интегрируемости трёхволновой триады.</w:t>
      </w:r>
    </w:p>
    <w:p>
      <w:pPr>
        <w:pStyle w:val="BodyText"/>
      </w:pPr>
      <w:r>
        <w:rPr>
          <w:b/>
          <w:bCs/>
        </w:rPr>
        <w:t xml:space="preserve">Периодический обмен.</w:t>
      </w:r>
      <w:r>
        <w:t xml:space="preserve"> </w:t>
      </w:r>
      <w:r>
        <w:t xml:space="preserve">Поток накачки колеблется с уточнённым периодом обмена T_ex = 5.650961242; соседние периоды совпадают с точностью 8.743724e-08, а поток в последовательных максимумах воспроизводится с точностью 2.442491e-15. Между максимумами накачка проседает до |a₃|² = 6.32941e-05 — снято 99.994% пикового значения 1.04, — так что цикл представляет собой подлинную хореографию «полное истощение — возрождение», а не мелкую модуляцию.</w:t>
      </w:r>
    </w:p>
    <w:p>
      <w:pPr>
        <w:pStyle w:val="BodyText"/>
      </w:pPr>
      <w:r>
        <w:rPr>
          <w:b/>
          <w:bCs/>
        </w:rPr>
        <w:t xml:space="preserve">Развёртка параметров.</w:t>
      </w:r>
      <w:r>
        <w:t xml:space="preserve"> </w:t>
      </w:r>
      <w:r>
        <w:t xml:space="preserve">При развёртке начальной амплитуды накачки по [0.4, 2.0] в 17 прогонах период обмена монотонно убывает от 9.028821 до 3.556606: более сильная накачка обменивается фотонами быстрее. Глубина истощения (min/max величины |a₃|² в каждом прогоне) держится между 4.2e-10 и 5.2e-6 по всей сетке — каждый режим развёртки достигает практически полной конверсии, а дрейф инвариантов развёртки (≤ 1.5e-9 при более слабом допуске прогонов 1e-10) подтверждает чистоту самой карты.</w:t>
      </w:r>
    </w:p>
    <w:p>
      <w:pPr>
        <w:pStyle w:val="BodyText"/>
      </w:pPr>
      <w:r>
        <w:rPr>
          <w:b/>
          <w:bCs/>
        </w:rPr>
        <w:t xml:space="preserve">Якорь в виде замкнутой формы.</w:t>
      </w:r>
      <w:r>
        <w:t xml:space="preserve"> </w:t>
      </w:r>
      <w:r>
        <w:t xml:space="preserve">В вырожденном канале численная эффективность конверсии следует за η(t) = tanh²(At) с максимальным отклонением 2.220446e-16 на 60 выборках — одна единица последнего разряда двойной точности. Точное решение одним выстрелом проверяет нормировку, фазовую конвенцию и интегратор; это оптический аналог заякоривания вихревой хореографии на замкнутой форме теоремы 3.1.</w:t>
      </w:r>
    </w:p>
    <w:bookmarkEnd w:id="42"/>
    <w:bookmarkStart w:id="43" w:name="сводка-верификации"/>
    <w:p>
      <w:pPr>
        <w:pStyle w:val="Heading3"/>
      </w:pPr>
      <w:r>
        <w:t xml:space="preserve">Сводка верификации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Прошла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ManleyRowe_I13_drift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5.32907e-15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ManleyRowe_I23_drift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4.21885e-15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ManleyRowe_I12diff_drift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4.4964e-15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Pump_period_repeatability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8.74372e-08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1e-06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Pump_revival_error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2.44249e-15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Pump_full_depletion_occurs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SHG_tanh2_conversion_error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2.22045e-16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(status: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PASS</w:t>
      </w:r>
      <w:r>
        <w:rPr>
          <w:i/>
          <w:iCs/>
        </w:rPr>
        <w:t xml:space="preserve">, mode: full)</w:t>
      </w:r>
    </w:p>
    <w:bookmarkEnd w:id="43"/>
    <w:bookmarkEnd w:id="44"/>
    <w:bookmarkStart w:id="45" w:name="обсуждение"/>
    <w:p>
      <w:pPr>
        <w:pStyle w:val="Heading2"/>
      </w:pPr>
      <w:r>
        <w:t xml:space="preserve">7. Обсуждение</w:t>
      </w:r>
    </w:p>
    <w:p>
      <w:pPr>
        <w:pStyle w:val="FirstParagraph"/>
      </w:pPr>
      <w:r>
        <w:t xml:space="preserve">Модель сознательно минимальна: равные связи, плоские волны, идеальное фазовое согласование, отсутствие потерь. В этих допущениях каждый вывод — точное утверждение об определяющих уравнениях, а не симуляция конкретного кристалла. Естественные расширения сохраняют установленный здесь верификационный стиль: расстройка (Δk ≠ 0 добавляет линейный фазовый член и ломает строгую периодичность), рассогласование групповых скоростей для импульсов, неравные связи (несимметричный волчок Эйлера), граничные условия резонатора (параметрический генератор с накачкой) и квантовое затравливание спонтанным параметрическим рассеянием.</w:t>
      </w:r>
    </w:p>
    <w:p>
      <w:pPr>
        <w:pStyle w:val="BodyText"/>
      </w:pPr>
      <w:r>
        <w:t xml:space="preserve">Численный режим указан честно. Верификационные числа получены исключительно при rtol = atol = 1e-13; развёртка fig03 использует более слабый допуск 1e-10, поскольку глубокие минимумы накачки — резкие особенности, доминирующие в стоимости интегрирования, и её результаты хранятся как данные рисунков, а не контрольные проверки. Физические единицы восстанавливаются стандартной нормировкой χ⁽²⁾ (для MgO:LiNbO₃ |χ⁽²⁾| ≈ 4 пм/В на 1 мкм), так что T_ex переводится в длину кристалла при фиксированных входных интенсивностях.</w:t>
      </w:r>
    </w:p>
    <w:p>
      <w:pPr>
        <w:pStyle w:val="BodyText"/>
      </w:pPr>
      <w:r>
        <w:t xml:space="preserve">В рамках программы это исследование заякоривает блок интегрируемых триад оптической линии: TRX-04 расширяет парное взаимодействие на пространственные керровские солитоны («солитонная молекула»), TRX-09 проверяет вихревого близнеца того же интегрируемого семейства, а TRX-11 сохраняет гамильтоново трёхчастное ядро, добавляя излучение. Вместе с TRX-01 и TRX-12 они замыкают контур между небесной, оптической и вихревой формулировками TRIVORTEX.</w:t>
      </w:r>
    </w:p>
    <w:bookmarkEnd w:id="45"/>
    <w:bookmarkStart w:id="46" w:name="выводы"/>
    <w:p>
      <w:pPr>
        <w:pStyle w:val="Heading2"/>
      </w:pPr>
      <w:r>
        <w:t xml:space="preserve">8. Выводы</w:t>
      </w:r>
    </w:p>
    <w:p>
      <w:pPr>
        <w:pStyle w:val="Compact"/>
        <w:numPr>
          <w:ilvl w:val="0"/>
          <w:numId w:val="1011"/>
        </w:numPr>
      </w:pPr>
      <w:r>
        <w:t xml:space="preserve">Трёхволновая система с равными связями сохраняет инварианты Мэнли–Роу на уровне ≤ 5.329071e-15 за T = 50 (допуск 1e-10) — фотонная бухгалтерия машинного уровня.</w:t>
      </w:r>
    </w:p>
    <w:p>
      <w:pPr>
        <w:pStyle w:val="Compact"/>
        <w:numPr>
          <w:ilvl w:val="0"/>
          <w:numId w:val="1011"/>
        </w:numPr>
      </w:pPr>
      <w:r>
        <w:t xml:space="preserve">Истощение и возрождение накачки строго периодичны: T_ex = 5.650961242, соседние периоды совпадают с точностью 8.743724e-08, поток возрождения воспроизводится с точностью 2.442491e-15.</w:t>
      </w:r>
    </w:p>
    <w:p>
      <w:pPr>
        <w:pStyle w:val="Compact"/>
        <w:numPr>
          <w:ilvl w:val="0"/>
          <w:numId w:val="1011"/>
        </w:numPr>
      </w:pPr>
      <w:r>
        <w:t xml:space="preserve">Накачка испытывает подлинное полное истощение, проседая до |a₃|² = 6.32941e-05 — снято 99.994% пикового потока 1.04 — прежде чем возродиться.</w:t>
      </w:r>
    </w:p>
    <w:p>
      <w:pPr>
        <w:pStyle w:val="Compact"/>
        <w:numPr>
          <w:ilvl w:val="0"/>
          <w:numId w:val="1011"/>
        </w:numPr>
      </w:pPr>
      <w:r>
        <w:t xml:space="preserve">Период обмена перестраивается амплитудой накачки: T_ex монотонно убывает от 9.028821 до 3.556606 по |a₃(0)| ∈ [0.4, 2.0], глубина истощения ≤ 5.2e-6 по всей развёртке.</w:t>
      </w:r>
    </w:p>
    <w:p>
      <w:pPr>
        <w:pStyle w:val="Compact"/>
        <w:numPr>
          <w:ilvl w:val="0"/>
          <w:numId w:val="1011"/>
        </w:numPr>
      </w:pPr>
      <w:r>
        <w:t xml:space="preserve">Вырожденный (SHG) канал воспроизводит замкнутую форму η(t) = tanh²(At) с точностью 2.220446e-16 — одна единица последнего разряда двойной точности.</w:t>
      </w:r>
    </w:p>
    <w:p>
      <w:pPr>
        <w:pStyle w:val="Compact"/>
        <w:numPr>
          <w:ilvl w:val="0"/>
          <w:numId w:val="1011"/>
        </w:numPr>
      </w:pPr>
      <w:r>
        <w:t xml:space="preserve">Система канонически эквивалентна волчку Эйлера и, следовательно, задаче Кирхгофа о трёх вихрях — TRX-02 является оптическим близнецом ядра TRIVORTEX.</w:t>
      </w:r>
    </w:p>
    <w:bookmarkEnd w:id="46"/>
    <w:bookmarkStart w:id="48" w:name="список-литературы"/>
    <w:p>
      <w:pPr>
        <w:pStyle w:val="Heading2"/>
      </w:pPr>
      <w:r>
        <w:t xml:space="preserve">9. Список литературы</w:t>
      </w:r>
    </w:p>
    <w:p>
      <w:pPr>
        <w:pStyle w:val="Compact"/>
        <w:numPr>
          <w:ilvl w:val="0"/>
          <w:numId w:val="1012"/>
        </w:numPr>
      </w:pPr>
      <w:r>
        <w:t xml:space="preserve">Manley, J. M., Rowe, H. E. (1956).</w:t>
      </w:r>
      <w:r>
        <w:t xml:space="preserve"> </w:t>
      </w:r>
      <w:r>
        <w:rPr>
          <w:i/>
          <w:iCs/>
        </w:rPr>
        <w:t xml:space="preserve">Some general properties of nonlinear elements — Part I. General energy relations.</w:t>
      </w:r>
      <w:r>
        <w:t xml:space="preserve"> </w:t>
      </w:r>
      <w:r>
        <w:t xml:space="preserve">Proc. IRE 44, 904–913.</w:t>
      </w:r>
    </w:p>
    <w:p>
      <w:pPr>
        <w:pStyle w:val="Compact"/>
        <w:numPr>
          <w:ilvl w:val="0"/>
          <w:numId w:val="1012"/>
        </w:numPr>
      </w:pPr>
      <w:r>
        <w:t xml:space="preserve">Franken, P. A., Hill, A. E., Peters, C. W., Weinreich, G. (1961).</w:t>
      </w:r>
      <w:r>
        <w:t xml:space="preserve"> </w:t>
      </w:r>
      <w:r>
        <w:rPr>
          <w:i/>
          <w:iCs/>
        </w:rPr>
        <w:t xml:space="preserve">Generation of optical harmonics.</w:t>
      </w:r>
      <w:r>
        <w:t xml:space="preserve"> </w:t>
      </w:r>
      <w:r>
        <w:t xml:space="preserve">Phys. Rev. Lett. 7, 118–119.</w:t>
      </w:r>
    </w:p>
    <w:p>
      <w:pPr>
        <w:pStyle w:val="Compact"/>
        <w:numPr>
          <w:ilvl w:val="0"/>
          <w:numId w:val="1012"/>
        </w:numPr>
      </w:pPr>
      <w:r>
        <w:t xml:space="preserve">Armstrong, J. A., Bloembergen, N., Ducuing, J., Pershan, P. S. (1962).</w:t>
      </w:r>
      <w:r>
        <w:t xml:space="preserve"> </w:t>
      </w:r>
      <w:r>
        <w:rPr>
          <w:i/>
          <w:iCs/>
        </w:rPr>
        <w:t xml:space="preserve">Interactions between light waves in a nonlinear dielectric.</w:t>
      </w:r>
      <w:r>
        <w:t xml:space="preserve"> </w:t>
      </w:r>
      <w:r>
        <w:t xml:space="preserve">Phys. Rev. 127, 1918–1939.</w:t>
      </w:r>
    </w:p>
    <w:p>
      <w:pPr>
        <w:pStyle w:val="Compact"/>
        <w:numPr>
          <w:ilvl w:val="0"/>
          <w:numId w:val="1012"/>
        </w:numPr>
      </w:pPr>
      <w:r>
        <w:t xml:space="preserve">Kroll, N. M. (1962).</w:t>
      </w:r>
      <w:r>
        <w:t xml:space="preserve"> </w:t>
      </w:r>
      <w:r>
        <w:rPr>
          <w:i/>
          <w:iCs/>
        </w:rPr>
        <w:t xml:space="preserve">Parametric amplification in spatially extended media and application to the design of tunable oscillators.</w:t>
      </w:r>
      <w:r>
        <w:t xml:space="preserve"> </w:t>
      </w:r>
      <w:r>
        <w:t xml:space="preserve">Phys. Rev. 127, 1207–1213.</w:t>
      </w:r>
    </w:p>
    <w:p>
      <w:pPr>
        <w:pStyle w:val="Compact"/>
        <w:numPr>
          <w:ilvl w:val="0"/>
          <w:numId w:val="1012"/>
        </w:numPr>
      </w:pPr>
      <w:r>
        <w:t xml:space="preserve">Giordmaine, J. A., Miller, R. C. (1965).</w:t>
      </w:r>
      <w:r>
        <w:t xml:space="preserve"> </w:t>
      </w:r>
      <w:r>
        <w:rPr>
          <w:i/>
          <w:iCs/>
        </w:rPr>
        <w:t xml:space="preserve">Tunable coherent parametric oscillation in LiNbO₃ at optical frequencies.</w:t>
      </w:r>
      <w:r>
        <w:t xml:space="preserve"> </w:t>
      </w:r>
      <w:r>
        <w:t xml:space="preserve">Phys. Rev. Lett. 14, 973–976.</w:t>
      </w:r>
    </w:p>
    <w:p>
      <w:pPr>
        <w:pStyle w:val="Compact"/>
        <w:numPr>
          <w:ilvl w:val="0"/>
          <w:numId w:val="1012"/>
        </w:numPr>
      </w:pPr>
      <w:r>
        <w:t xml:space="preserve">Kaup, D. J., Reiman, A., Bers, A. (1979).</w:t>
      </w:r>
      <w:r>
        <w:t xml:space="preserve"> </w:t>
      </w:r>
      <w:r>
        <w:rPr>
          <w:i/>
          <w:iCs/>
        </w:rPr>
        <w:t xml:space="preserve">Space-time evolution of nonlinear three-wave interactions. I. Interactions in a homogeneous medium.</w:t>
      </w:r>
      <w:r>
        <w:t xml:space="preserve"> </w:t>
      </w:r>
      <w:r>
        <w:t xml:space="preserve">Rev. Mod. Phys. 51, 275–309.</w:t>
      </w:r>
    </w:p>
    <w:p>
      <w:pPr>
        <w:pStyle w:val="Compact"/>
        <w:numPr>
          <w:ilvl w:val="0"/>
          <w:numId w:val="1012"/>
        </w:numPr>
      </w:pPr>
      <w:r>
        <w:t xml:space="preserve">Boyd, R. W. (2008).</w:t>
      </w:r>
      <w:r>
        <w:t xml:space="preserve"> </w:t>
      </w:r>
      <w:r>
        <w:rPr>
          <w:i/>
          <w:iCs/>
        </w:rPr>
        <w:t xml:space="preserve">Nonlinear Optics</w:t>
      </w:r>
      <w:r>
        <w:t xml:space="preserve">, 3rd ed., Academic Press.</w:t>
      </w:r>
    </w:p>
    <w:bookmarkStart w:id="47" w:name="bibtex"/>
    <w:p>
      <w:pPr>
        <w:pStyle w:val="Heading3"/>
      </w:pPr>
      <w:r>
        <w:t xml:space="preserve">BibTeX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manley1956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{Manley, J. M. and Rowe, H. E.},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{Some general properties of nonlinear elements. Part {I}: General energy relations},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{Proceedings of the IRE},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{1956},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{44}, </w:t>
      </w:r>
      <w:r>
        <w:rPr>
          <w:rStyle w:val="StringTok"/>
        </w:rPr>
        <w:t xml:space="preserve">number</w:t>
      </w:r>
      <w:r>
        <w:rPr>
          <w:rStyle w:val="NormalTok"/>
        </w:rPr>
        <w:t xml:space="preserve"> = {7},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{904--913}}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armstrong1962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{Armstrong, J. A. and Bloembergen, N. and Ducuing, J. and Pershan, P. S.},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{Interactions between light waves in a nonlinear dielectric},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{Physical Review},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{1962},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{127},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{1918--1939}}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kaup1979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{Kaup, D. J. and Reiman, A. and Bers, A.},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{Space-time evolution of nonlinear three-wave interactions. {I}: Interactions in a homogeneous medium},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{Reviews of Modern Physics},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{1979},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{51},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{275--309}}</w:t>
      </w:r>
      <w:r>
        <w:br/>
      </w:r>
      <w:r>
        <w:br/>
      </w:r>
      <w:r>
        <w:rPr>
          <w:rStyle w:val="VariableTok"/>
        </w:rPr>
        <w:t xml:space="preserve">@book</w:t>
      </w:r>
      <w:r>
        <w:rPr>
          <w:rStyle w:val="NormalTok"/>
        </w:rPr>
        <w:t xml:space="preserve">{</w:t>
      </w:r>
      <w:r>
        <w:rPr>
          <w:rStyle w:val="OtherTok"/>
        </w:rPr>
        <w:t xml:space="preserve">boyd2008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  = {Boyd, R. W.},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  = {Nonlinear Optics},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edition</w:t>
      </w:r>
      <w:r>
        <w:rPr>
          <w:rStyle w:val="NormalTok"/>
        </w:rPr>
        <w:t xml:space="preserve">   = {3rd},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publisher</w:t>
      </w:r>
      <w:r>
        <w:rPr>
          <w:rStyle w:val="NormalTok"/>
        </w:rPr>
        <w:t xml:space="preserve"> = {Academic Press}, </w:t>
      </w:r>
      <w:r>
        <w:rPr>
          <w:rStyle w:val="StringTok"/>
        </w:rPr>
        <w:t xml:space="preserve">year</w:t>
      </w:r>
      <w:r>
        <w:rPr>
          <w:rStyle w:val="NormalTok"/>
        </w:rPr>
        <w:t xml:space="preserve"> = {2008}}</w:t>
      </w:r>
    </w:p>
    <w:bookmarkEnd w:id="47"/>
    <w:bookmarkEnd w:id="48"/>
    <w:bookmarkStart w:id="49" w:name="приложение-a.-таблица-параметров"/>
    <w:p>
      <w:pPr>
        <w:pStyle w:val="Heading2"/>
      </w:pPr>
      <w:r>
        <w:t xml:space="preserve">Приложение A. Таблица параметров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a₁(0), a₂(0)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0.2, 0.3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затравки сигнала и холостой волны (вещественные)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a₃(0)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1.0·i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затравка накачки, фаза π/2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γ₁, γ₂, γ₃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нормированные коэффициенты связи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Δk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фазовая расстройка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интервал интегрирования основного прогона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rtol, atol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1e-13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допуски DOP853 (основной прогон)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шага интегратора (основной прогон)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плотные выборки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20001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сетка поиска максимумов накачки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затравочная амплитуда SHG-канала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развёртка</w:t>
            </w:r>
          </w:p>
        </w:tc>
        <w:tc>
          <w:tcPr>
            <w:shd w:val="clear" w:fill="F4F6FA"/>
          </w:tcPr>
          <w:p>
            <w:pPr>
              <w:pStyle w:val="Compact"/>
            </w:pP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a₃(0)</w:t>
            </w:r>
          </w:p>
        </w:tc>
      </w:tr>
    </w:tbl>
    <w:bookmarkEnd w:id="49"/>
    <w:bookmarkStart w:id="50" w:name="приложение-b.-воспроизведение"/>
    <w:p>
      <w:pPr>
        <w:pStyle w:val="Heading2"/>
      </w:pPr>
      <w:r>
        <w:t xml:space="preserve">Приложение B. Воспроизведение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research/TRX-02-three-wave-mixing/research/TRX-XX/code/trx02_three_wave_mixing.py </w:t>
      </w:r>
      <w:r>
        <w:rPr>
          <w:rStyle w:val="AttributeTok"/>
        </w:rPr>
        <w:t xml:space="preserve">--smoke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&lt; 20 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research/TRX-02-three-wave-mixing/research/TRX-XX/code/trx02_three_wave_mixing.py              </w:t>
      </w:r>
      <w:r>
        <w:rPr>
          <w:rStyle w:val="CommentTok"/>
        </w:rPr>
        <w:t xml:space="preserve"># полный прогон, 0.6 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research/TRX-02-three-wave-mixing/research/TRX-XX/code/trx02_three_wave_mixing.py </w:t>
      </w:r>
      <w:r>
        <w:rPr>
          <w:rStyle w:val="AttributeTok"/>
        </w:rPr>
        <w:t xml:space="preserve">--figures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+ графики 300 DPI</w:t>
      </w:r>
    </w:p>
    <w:p>
      <w:pPr>
        <w:pStyle w:val="FirstParagraph"/>
      </w:pPr>
      <w:r>
        <w:t xml:space="preserve">Полное время выполнения на референсной машине — 0.6 s; smoke-режим укладывается в 20 секунд и используется CI репозитория.</w:t>
      </w:r>
    </w:p>
    <w:bookmarkEnd w:id="50"/>
    <w:bookmarkStart w:id="51" w:name="приложение-c.-окружение"/>
    <w:p>
      <w:pPr>
        <w:pStyle w:val="Heading2"/>
      </w:pPr>
      <w:r>
        <w:t xml:space="preserve">Приложение C. Окружение</w:t>
      </w:r>
    </w:p>
    <w:p>
      <w:pPr>
        <w:pStyle w:val="FirstParagraph"/>
      </w:pPr>
      <w:r>
        <w:t xml:space="preserve">Python ≥ 3.11, numpy ≥ 2.0, scipy ≥ 1.14, matplotlib ≥ 3.9; без доступа к сети и без стохастических зёрен — каждый прогон бит-в-бит воспроизводим на референсной машине.</w:t>
      </w:r>
    </w:p>
    <w:bookmarkEnd w:id="51"/>
    <w:bookmarkEnd w:id="52"/>
    <w:sectPr>
      <w:footerReference w:type="default" r:id="rId9"/>
      <w:pgMar w:top="1191" w:bottom="1191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72"/>
        <w:sz w:val="16"/>
      </w:rPr>
    </w:r>
    <w:r>
      <w:rPr>
        <w:rFonts w:ascii="Liberation Sans" w:hAnsi="Liberation Sans"/>
        <w:color w:val="5A6472"/>
        <w:sz w:val="16"/>
      </w:rPr>
      <w:t xml:space="preserve">TRIVORTEX Research Program · v1.0.0 · </w:t>
    </w:r>
    <w:r>
      <w:rPr>
        <w:rFonts w:ascii="Liberation Sans" w:hAnsi="Liberation Sans"/>
        <w:color w:val="5A6472"/>
        <w:sz w:val="16"/>
      </w:rPr>
      <w:fldChar w:fldCharType="begin"/>
      <w:instrText xml:space="preserve">PAGE</w:instrText>
      <w:fldChar w:fldCharType="end"/>
    </w:r>
    <w:r>
      <w:rPr>
        <w:rFonts w:ascii="Liberation Sans" w:hAnsi="Liberation Sans"/>
        <w:color w:val="5A6472"/>
        <w:sz w:val="16"/>
      </w:rPr>
      <w:t xml:space="preserve"> / </w:t>
    </w:r>
    <w:r>
      <w:rPr>
        <w:rFonts w:ascii="Liberation Sans" w:hAnsi="Liberation Sans"/>
        <w:color w:val="5A6472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Liberation Serif" w:hAnsi="Liberation Serif" w:cs="Liberation Serif" w:eastAsia="Liberation Serif"/>
      <w:color w:val="1C253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cs="Liberation Sans" w:eastAsia="Liberation Sans"/>
      <w:b/>
      <w:bCs/>
      <w:color w:val="0A1A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cs="Liberation Sans" w:eastAsia="Liberation Sans"/>
      <w:b w:val="0"/>
      <w:color w:val="5A6472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cs="Liberation Serif" w:eastAsia="Liberation Serif"/>
      <w:color w:val="3D3A2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Резонансное трёхволновое взаимодействие (Мэнли–Роу, χ⁽²⁾-оптика) — TRIVORTEX Study TRX-02</dc:title>
  <dc:creator>Isaev Iskhak Khamzatovich</dc:creator>
  <dc:language>ru</dc:language>
  <cp:keywords>TRIVORTEX, three-body, vortex, TRX</cp:keywords>
  <dcterms:created xsi:type="dcterms:W3CDTF">2026-10-07T06:43:24Z</dcterms:created>
  <dcterms:modified xsi:type="dcterms:W3CDTF">2026-10-07T06:43:24Z</dcterms:modified>
  <cp:lastModifiedBy>Isaev Iskhak Khamzatovich</cp:lastModifiedBy>
  <dc:subject>TRIVORTEX Research Program — study monograph</dc:subject>
  <dc:description>TRIVORTEX Research Program, version 1.0.0. DOI 10.5281/zenodo.21825394. ORCID 0009-0003-7299-0701.</dc:description>
  <cp:category>Research monograph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