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Колебания Козаи–Лидова в иерархических тройных системах</w:t>
      </w:r>
    </w:p>
    <w:p>
      <w:pPr>
        <w:pStyle w:val="Author"/>
      </w:pPr>
      <w:r>
        <w:t xml:space="preserve">Isaev Iskhak Khamzatovich</w:t>
      </w:r>
    </w:p>
    <w:bookmarkStart w:id="52" w:name="Xa07c0cbc3bd7509796555ddb4d7e930bac3600d"/>
    <w:p>
      <w:pPr>
        <w:pStyle w:val="Heading1"/>
      </w:pPr>
      <w:r>
        <w:t xml:space="preserve">Колебания Козаи–Лидова в иерархических тройных системах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research/TRX-XX/code/trx10_kozai_lidov.py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results/trx10_results.json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посвящена механизму Козаи–Лидова — секулярному обмену эксцентриситета и наклонения, который порождает далёкий наклонённый компаньон в иерархической тройной системе, — в полном верификационном стиле программы TRIVORTEX. Вместо кодирования заученного аналитического результата исследование строит двойной усреднённый квадрупольный гамильтониан численно: мгновенный квадрупольный возмущающий потенциал усредняется по внутренней орбите квадратурой из 240 узлов, табулируется на сетке 160 × 180 (e, ω) при сохраняющемся j_z и превращается в кубический сплайн, производные которого порождают канонический поток. Сплайновый поток воспроизводит аналитические максимумы e_max = 0.763763 (i₀ = 60°) и 0.897239 (i₀ = 70°) в пределах допуска 2×10⁻³, подтверждает ландшафт Козаи по 12 наклонениям от 30° до 80° с максимальным отклонением 1.128×10⁻⁵, проверяет масштабирование часов P ∝ 1/m₃ (отношение P(2m₃)/P(m₃) = 0.481; разброс P·m₃ 4.29%) и сохраняет табулированный гамильтониан с точностью 1.33×10⁻⁵. Независимое прямое интегрирование полной трёхмерной ограниченной задачи (m₃/M = 0.5, a_out = 5 a_in, 200 внешних оборотов) даёт сглаженный максимальный эксцентриситет 0.7423 против 0.7638 — отклонение −2.8%, согласующееся с усечением до гексадекаполя. Все четыре контрольные проверки пройдены.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Небесная механика — исследование 10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двойной усреднённый квадрупольный механизм Козаи–Лидова (пробная частица в иерархической тройной)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j_z = √(1 − e²)·cos i (0.500000 / 0.342020 для i₀ = 60°/70°)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e_max = 0.763763 (60°) и 0.897239 (70°) воспроизведены сплайновым потоком; прямая 3-D валидация −2.8%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64.6 с полный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История эффекта началась за полвека до его классических статей. В 1910 году Хуго фон Цайпель вывел секулярные уравнения двойной усреднённой квадрупольной задачи трёх тел, и редукция к одной степени свободы уже неявно присутствовала в его работе. Классические статьи 1962 года появились независимо и почти одновременно: Ёсихидэ Козаи проанализировал секулярные возмущения астероидов с большими наклонениями (Astronomical Journal 67, 591), а Михаил Лидов — эволюцию орбит искусственных спутников под гравитационным действием внешних тел (Planetary and Space Science 9, 719); в русскоязычной литературе эффект по-прежнему часто называют механизмом Лидова–Козаи. Оба обнаружили одно и то же: выше критического наклонения 39.23° эксцентриситет и наклонение начинают периодически обмениваться, причём наклонение при максимальном эксцентриситете опускается точно до критического значения.</w:t>
      </w:r>
    </w:p>
    <w:p>
      <w:pPr>
        <w:pStyle w:val="BodyText"/>
      </w:pPr>
      <w:r>
        <w:t xml:space="preserve">Механизм немедленно стал рабочим инструментом небесной механики. Он ограничивает время жизни высокоширотных искусственных спутников, формирует орбитальную архитектуру систем нерегулярных спутников и семейств астероидов, раскачивает эксцентриситеты комет и защищает — либо уничтожает — тела на наклонённых орбитах в планетных системах. Формула масштаба времени t_KL ~ (M/m₃)(a_out/a_in)³·P_in объясняет универсальность эффекта: это часы, скорость которых зависит только от иерархии, и всякая иерархическая конфигурация с наклонённой орбитой несёт их в себе.</w:t>
      </w:r>
    </w:p>
    <w:p>
      <w:pPr>
        <w:pStyle w:val="BodyText"/>
      </w:pPr>
      <w:r>
        <w:t xml:space="preserve">Современный ренессанс принесли экзопланеты и гравитационно-волновая астрономия. Эксцентриковые обобщения механизма (октупольные перевороты орбит, подробно рассмотренные в обзоре Naoz (2016)) превращают наклонённые тройные в канал миграции горячих юпитеров (Wu &amp; Murray 2003; Fabrycky &amp; Tremaine 2007) и в канал слияний компактных объектов, финальные стадии которых увидит LISA (Blaes, Lee &amp; Socrates 2002). Монография Шевченко (2017) собирает приложения воедино, а исторический обзор Ito &amp; Ohtsuka (2019) восстанавливает историю названия и приоритетов — включая роль фон Цайпеля и японскую и советскую школы.</w:t>
      </w:r>
    </w:p>
    <w:p>
      <w:pPr>
        <w:pStyle w:val="BodyText"/>
      </w:pPr>
      <w:r>
        <w:t xml:space="preserve">Для TRIVORTEX значимость структурна. Сохраняющийся j_z схлопывает задачу в одну интегрируемую степень свободы — в точности как интеграл Чаплыгина редуцирует вихревую задачу; замкнутая форма e_max — это острый аналитический эталон типа теоремы 3.1, в который обязана попасть численная машина; а часы Козаи–Лидова — секулярный близнец периода вращающейся хореографии. Поэтому данное исследование закрепляет секулярный небесный блок программы (TRX-01, TRX-10, TRX-11, TRX-12) — ту же сцену трёх тел, на которой действуют лазерные исследования.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Система — ограниченная иерархическая тройная: внутренняя двойная состоит из тела с GM_inner = 1 на орбите a_in = 1 и безмассовой пробной частицы; внешний компаньон m₃ движется по круговой орбите радиуса a_out ≫ a_in (20 a_in в секулярной модели, 5 a_in в прямой валидации). Мгновенный квадрупольный возмущающий потенциал есть U = (G m₃/2a_out³)·(3(r·r̂₃)² − r²) — член l = 2 разложения потенциала компаньона по малому параметру иерархии α = a_in/a_out; для круговой внешней орбиты октупольный член (l = 3) тождественно равен нулю.</w:t>
      </w:r>
    </w:p>
    <w:p>
      <w:pPr>
        <w:pStyle w:val="BodyText"/>
      </w:pPr>
      <w:r>
        <w:t xml:space="preserve">Усреднение U по обоим орбитальным периодам оставляет осесимметричную функцию ⟨U⟩(e, ω), зависящую от ориентации эллипса только через аргумент перицентра. z-компонента углового момента j_z = √(1 − e²)·cos i сохраняется точно, поэтому секулярная задача схлопывается в одну гамильтонову степень свободы на многообразии фиксированного j_z: эксцентриситет растёт ровно тогда, когда наклонение падает, — оба связаны инвариантом j_z. Скорость часов задаёт величина C₂ = (3/8)(m₃/M)(a_in/a_out)³·n_in, обратная к масштабу времени Козаи–Лидова.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GM_inner = 1, a_in = 1, n_in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двойная задаёт длину и время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e₀, ω₀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0.001, π/2 (90°)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начально круговая орбита; ω₀ в центре либрации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{60°, 70°}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главные наклонения, оба выше i_crit = 39.23°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m₃/M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 (секулярный скан), 0.5 (прямой)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отношение массы внешнего тела к внутренней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a_in (секулярно), 5 a_in (прямо)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разделитель иерархии α = a_in/a_out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Сплайновая сетка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160 × 180 (e × ω), квадратура 240 точек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табуляция усреднённого потенциала ⟨U⟩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Секулярный интегратор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DOP853, rtol 1e-8, atol 1e-9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канонический сплайновый поток, 3 цикла на прогон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Прямой интегратор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DOP853, rtol = atol = 1e-11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полная 3-D ограниченная задача, 200 внешних периодов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Отталкиваемся от разложения потенциала компаньона в ряд Лежандра по малому параметру иерархии α = a_in/a_out. Монопольный член (l = 0) лишь сдвигает энергию внутренней орбиты; квадрупольный член (l = 2), U ∝ (3(r·r̂₃)² − r²)/2a_out³, — первый анизотропный вклад, именно он переживает усреднение; для круговой внешней орбиты октупольный член (l = 3) тождественно равен нулю, а следующий выживающий член — гексадекаполь (l = 4) — меньше на α². Усреднение по внутренней орбите выполняется в коде квадратурой из 240 узлов по истинной аномалии с весами, пропорциональными r², — это точный кеплеровский вес по времени dt ∝ r² df, а не заученное аналитическое среднее.</w:t>
      </w:r>
    </w:p>
    <w:p>
      <w:pPr>
        <w:pStyle w:val="BodyText"/>
      </w:pPr>
      <w:r>
        <w:t xml:space="preserve">Усреднение квадрупольного члена по внешней круговой орбите оставляет осесимметричный потенциал ⟨U⟩(e, ω). Поскольку ⟨U⟩ не зависит от долготы узла, z-компонента углового момента j_z = √(1 − e²)·cos i сохраняется точно, и динамика схлопывается в одну гамильтонову степень свободы (e, ω) на многообразии фиксированного j_z. Канонические уравнения (E2) с масштабом скоростей C₂ (E5) интегрируются численно; так как ⟨U⟩ имеет период π по ω, фаза складывается в [0, π), что ускоряет интегратор и удерживает фазу в ограниченной области.</w:t>
      </w:r>
    </w:p>
    <w:p>
      <w:pPr>
        <w:pStyle w:val="BodyText"/>
      </w:pPr>
      <w:r>
        <w:t xml:space="preserve">Максимальный эксцентриситет следует из геометрии особых точек. Для начально круговой внутренней орбиты (j_z = cos i₀) рост эксцентриситета возможен только выше критического наклонения i_crit = arccos√(3/5) ≈ 39.23°, где открывается остров либрации вокруг ω = π/2. В максимуме эксцентриситета условие ė = 0 требует ∂⟨U⟩/∂ω = 0, то есть ω = π/2, а наклонение одновременно достигает минимума (j_z связывает e и i монотонно); отсюда замкнутая форма (E4): e_max = √(1 − (5/3)cos²i₀). Поток предсказывает таким образом не только амплитуду, но и противофазную геометрию обмена — свойство, проверяемое на fig02.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эксцентриситет внутренней (пробной) орбиты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наклонение внутренней орбиты к плоскости внешней орбиты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аргумент перицентра внутренней орбиты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e₀, ω₀, i₀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начальные значения: 0.001, π/2, {60°, 70°}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 = √(1 − e²)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безразмерный угловой момент внутренней орбиты (L = 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j_z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сохраняющаяся z-компонента, j_z = √(1 − e²)·cos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m₃/M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массы возмутителя к внутренней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a_in, a_out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большие полуоси внутренней и внешней орбит (a_in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движение внутренней орбиты (n_in = 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скорость Козаи–Лидова, C₂ = (3/8)(m₃/M)(a_in/a_out)³·n_in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⟨U⟩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двойной усреднённый квадрупольный потенциал (сплайновая табуляция)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Двойной усреднённый квадрупольный возмущающий потенциал (строится численно квадратурой по орбите; единицы G m₃/2a_out³).</w:t>
      </w:r>
    </w:p>
    <w:p>
      <w:pPr>
        <w:pStyle w:val="BodyText"/>
      </w:pPr>
      <w:r>
        <w:t xml:space="preserve">$$\langle U\rangle(e,\omega) = \left\langle \frac{G m_3}{2 a_{\rm out}^3}\,\big(3(\mathbf{r}\cdot\hat{\mathbf{r}}_3)^2 - \mathbf{r}^2\big) \right\rangle_{\!\text{inner orbit}}$$</w:t>
      </w:r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Канонический гамильтонов поток на многообразии фиксированного j_z (L = 1), скорости в масштабе C₂.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e</m:t>
              </m:r>
            </m:den>
          </m:f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⟨</m:t>
              </m:r>
              <m:r>
                <m:t>U</m:t>
              </m:r>
              <m:r>
                <m:rPr>
                  <m:sty m:val="p"/>
                </m:rPr>
                <m:t>⟩</m:t>
              </m:r>
            </m:num>
            <m:den>
              <m:r>
                <m:rPr>
                  <m:sty m:val="p"/>
                </m:rPr>
                <m:t>∂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e</m:t>
              </m:r>
            </m:den>
          </m:f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⟨</m:t>
              </m:r>
              <m:r>
                <m:t>U</m:t>
              </m:r>
              <m:r>
                <m:rPr>
                  <m:sty m:val="p"/>
                </m:rPr>
                <m:t>⟩</m:t>
              </m:r>
            </m:num>
            <m:den>
              <m:r>
                <m:rPr>
                  <m:sty m:val="p"/>
                </m:rPr>
                <m:t>∂</m:t>
              </m:r>
              <m:r>
                <m:t>e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Сохраняющаяся z-компонента орбитального углового момента — инвариант, связывающий e и i.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rPr>
              <m:sty m:val="p"/>
            </m:rPr>
            <m:t>cos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Аналитический максимальный эксцентриситет для начально круговой орбиты; обмен включается выше угла Козаи.</w:t>
      </w:r>
    </w:p>
    <w:p>
      <w:pPr>
        <w:pStyle w:val="BodyText"/>
      </w:pPr>
      <w:r>
        <w:t xml:space="preserve">$$e_{\max} = \sqrt{1 - \tfrac{5}{3}\cos^2 i_0}, \qquad i_{\rm crit} = \arccos\sqrt{\tfrac{3}{5}} \approx 39.23^\circ$$</w:t>
      </w:r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Масштаб времени Козаи–Лидова: период цикла масштабируется как 1/m₃ (вдвое короче при удвоении массы возмутителя).</w:t>
      </w:r>
    </w:p>
    <w:p>
      <w:pPr>
        <w:pStyle w:val="BodyText"/>
      </w:pPr>
      <w:r>
        <w:t xml:space="preserve">$$C_2 = \tfrac{3}{8}\,\frac{m_3}{M}\left(\frac{a_{\rm in}}{a_{\rm out}}\right)^{\!3} n_{\rm in}, \qquad t_{\rm KL} \sim \frac{1}{C_2}$$</w:t>
      </w:r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Соответствие вихревому фреймворку TRIVORTEX структурно. Сохраняющийся j_z закрепляет всё семейство «эксцентриситет–наклонение» на одномерном многообразии — в точности как интеграл Чаплыгина закрепляет вихревые орбиты; замкнутая форма e_max = √(1 − (5/3)cos²i₀) играет роль острого аналитического эталона типа теоремы 3.1, в который численная машина обязана попасть; а часы Козаи–Лидова с периодом ~ 1/C₂ — секулярный близнец периода вращающейся хореографии. Методологически это исследование — флагман философии «строить, а не заучивать»: усреднённый гамильтониан конструируется численно, а аналитический закон проявляется как целевая величина на выходе — та же дисциплина, которую вихревые исследования применяют к чаплыгинским редуцированным потокам.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Иерархическая тройная (пробная частица + компаньон)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тела с разделёнными масштабами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небесная задача трёх тел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Сохраняющийся j_z = √(1 − e²)·cos i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топологический инвариант типа Чаплыгина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интеграл, закрепляющий семейство орбит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e_max = √(1 − (5/3)cos²i₀)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форма теоремы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острый аналитический эталон для численной машины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Часы Козаи–Лидова, t_KL ~ 1/C₂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период хореографии 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секулярное хронометрирование триады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Сплайновый усреднённый гамильтониан ⟨U⟩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 построенный вихревой гамильтониан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потока порождаются табулированными, а не заученными потенциалами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Усреднённый потенциал табулируется на сетке 160 × 180 по (e, ω) с e ∈ [0.0001, 0.999] и ω ∈ [0, 2π]; каждый узел вычисляется описанной в выводе квадратурой из 240 узлов с кеплеровскими весами по времени. Бикубический RectBivariateSpline (kx = ky = 3) даёт ⟨U⟩ и его точные сплайновые производные ∂⟨U⟩/∂e и ∂⟨U⟩/∂ω — гамильтонову машину, используемую далее во всём конвейере. Ни одной аналитической формулы Козаи–Лидова в секулярном конвейере нет.</w:t>
      </w:r>
    </w:p>
    <w:p>
      <w:pPr>
        <w:pStyle w:val="BodyText"/>
      </w:pPr>
      <w:r>
        <w:t xml:space="preserve">Канонический поток интегрируется схемой DOP853 (rtol 1e-8, atol 1e-9, max_step T/1500) на интервале в три модельных цикла Козаи–Лидова с выборкой 3000 точек на прогон. Период измеряется как средний шаг между последовательными локальными максимумами e выше 0.7·max(e) — робастная оценка, нечувствительная к мелким осцилляциям возле e ≈ 0. Проверка масштабирования по массе повторяет прогон при m₃/M = 2 и сравнивает P(2m₃)/P(m₃) с 0.5 в полосе 3%; развёртка для рисунка расширяет часы до m₃/M ∈ {0.5, 1, 2, 4}.</w:t>
      </w:r>
    </w:p>
    <w:p>
      <w:pPr>
        <w:pStyle w:val="BodyText"/>
      </w:pPr>
      <w:r>
        <w:t xml:space="preserve">Валидация полностью независима: прямой прогон интегрирует полную трёхмерную ограниченную задачу — пробная частица чувствует и внутреннее тело, и компаньон на его круговой орбите — схемой DOP853 с rtol = atol = 1e-11, потолком в 60000 шагов и 40000 точками плотной выборки на 200 внешних периодов (m₃/M = 0.5, a_out = 5 a_in). Оскулирующий эксцентриситет вычисляется поточечно из вектора Лапласа–Рунге–Ленца и сглаживается скользящим средним за один внешний период; максимум сглаженной кривой и есть отчётная величина. Секулярная и прямая модели не делят ни строчки кода, кроме интегратора, поэтому их согласие — настоящая перекрёстная валидация.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kl-landscape"/>
    <w:p>
      <w:pPr>
        <w:pStyle w:val="Heading3"/>
      </w:pPr>
      <w:r>
        <w:t xml:space="preserve">fig01 kl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квадрупольной задачи Козаи–Лидова: (a) геометрия иерархической тройной, (b) аналитический ландшафт Козаи e_max(i₀)." title="" id="28" name="Picture"/>
            <a:graphic>
              <a:graphicData uri="http://schemas.openxmlformats.org/drawingml/2006/picture">
                <pic:pic>
                  <pic:nvPicPr>
                    <pic:cNvPr descr="../figures/fig01_kl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квадрупольной задачи Козаи–Лидова: (a) геометрия иерархической тройной, (b) аналитический ландшафт Козаи e_max(i₀).</w:t>
      </w:r>
    </w:p>
    <w:p>
      <w:pPr>
        <w:pStyle w:val="BodyText"/>
      </w:pPr>
      <w:r>
        <w:rPr>
          <w:i/>
          <w:iCs/>
        </w:rPr>
        <w:t xml:space="preserve">Ландшафт квадрупольной задачи Козаи–Лидова: (a) геометрия иерархической тройной, (b) аналитический ландшафт Козаи e_max(i₀).</w:t>
      </w:r>
      <w:r>
        <w:t xml:space="preserve"> </w:t>
      </w:r>
      <w:r>
        <w:t xml:space="preserve">Панель (a) показывает внутреннюю орбиту при e_max = 0.7638, наклонённую на i₀ = 60° и спроецированную на плоскость внешней орбиты; орбита компаньона a_out = 20 a_in дана пунктиром не в масштабе. Панель (b) воспроизводит e_max(i₀) = √(1 − (5/3)cos²i₀), затеняет докритическую полосу без обмена и отмечает точки исследования 0.7638 (60°) и 0.8972 (70°).</w:t>
      </w:r>
    </w:p>
    <w:bookmarkEnd w:id="30"/>
    <w:bookmarkStart w:id="34" w:name="fig02-kl-exchange"/>
    <w:p>
      <w:pPr>
        <w:pStyle w:val="Heading3"/>
      </w:pPr>
      <w:r>
        <w:t xml:space="preserve">fig02 kl exchange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 — обмен «эксцентриситет–наклонение» в секулярном сплайновом потоке." title="" id="32" name="Picture"/>
            <a:graphic>
              <a:graphicData uri="http://schemas.openxmlformats.org/drawingml/2006/picture">
                <pic:pic>
                  <pic:nvPicPr>
                    <pic:cNvPr descr="../figures/fig02_kl_exchang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 — обмен «эксцентриситет–наклонение» в секулярном сплайновом потоке.</w:t>
      </w:r>
    </w:p>
    <w:p>
      <w:pPr>
        <w:pStyle w:val="BodyText"/>
      </w:pPr>
      <w:r>
        <w:rPr>
          <w:i/>
          <w:iCs/>
        </w:rPr>
        <w:t xml:space="preserve">Главный результат — обмен «эксцентриситет–наклонение» в секулярном сплайновом потоке.</w:t>
      </w:r>
      <w:r>
        <w:t xml:space="preserve"> </w:t>
      </w:r>
      <w:r>
        <w:t xml:space="preserve">Слева: e(t) циклирует до 0.763733 (i₀ = 60°) и 0.897238 (70°) на фоне пунктирных аналитических огибающих, j_z = 0.500000 и 0.342020 сохраняются; справа: на двух циклах при 60° эксцентриситет достигает максимума ровно в момент провала наклонения до 39.23° = i_crit — противофазный обмен.</w:t>
      </w:r>
    </w:p>
    <w:bookmarkEnd w:id="34"/>
    <w:bookmarkStart w:id="38" w:name="fig03-kl-sweeps"/>
    <w:p>
      <w:pPr>
        <w:pStyle w:val="Heading3"/>
      </w:pPr>
      <w:r>
        <w:t xml:space="preserve">fig03 kl sweeps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Параметрические развёртки: валидация ландшафта Козаи e_max(i₀) и масштабирование часов Козаи–Лидова по массе возмутителя." title="" id="36" name="Picture"/>
            <a:graphic>
              <a:graphicData uri="http://schemas.openxmlformats.org/drawingml/2006/picture">
                <pic:pic>
                  <pic:nvPicPr>
                    <pic:cNvPr descr="../figures/fig03_kl_sweep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Параметрические развёртки: валидация ландшафта Козаи e_max(i₀) и масштабирование часов Козаи–Лидова по массе возмутителя.</w:t>
      </w:r>
    </w:p>
    <w:p>
      <w:pPr>
        <w:pStyle w:val="BodyText"/>
      </w:pPr>
      <w:r>
        <w:rPr>
          <w:i/>
          <w:iCs/>
        </w:rPr>
        <w:t xml:space="preserve">Параметрические развёртки: валидация ландшафта Козаи e_max(i₀) и масштабирование часов Козаи–Лидова по массе возмутителя.</w:t>
      </w:r>
      <w:r>
        <w:t xml:space="preserve"> </w:t>
      </w:r>
      <w:r>
        <w:t xml:space="preserve">По 12 наклонениям от 30° до 80° сплайновый поток совпадает с аналитикой с точностью 1.128×10⁻⁵ (прогон 40° требует 8-кратного удлинения: период Козаи–Лидова расходится на i_crit), ниже i_crit эксцентриситет остаётся на e₀ = 0.001; развёртка по m₃/M ∈ {0.5, 1, 2, 4} подтверждает P ∝ 1/m₃ с разбросом произведения P·m₃ всего 4.29%.</w:t>
      </w:r>
    </w:p>
    <w:bookmarkEnd w:id="38"/>
    <w:bookmarkStart w:id="42" w:name="fig04-kl-dynamics"/>
    <w:p>
      <w:pPr>
        <w:pStyle w:val="Heading3"/>
      </w:pPr>
      <w:r>
        <w:t xml:space="preserve">fig04 kl dynamics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 на многообразии фиксированного j_z: фазовый портрет и остаток табулированного гамильтониана." title="" id="40" name="Picture"/>
            <a:graphic>
              <a:graphicData uri="http://schemas.openxmlformats.org/drawingml/2006/picture">
                <pic:pic>
                  <pic:nvPicPr>
                    <pic:cNvPr descr="../figures/fig04_kl_dynam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на многообразии фиксированного j_z: фазовый портрет и остаток табулированного гамильтониана.</w:t>
      </w:r>
    </w:p>
    <w:p>
      <w:pPr>
        <w:pStyle w:val="BodyText"/>
      </w:pPr>
      <w:r>
        <w:rPr>
          <w:i/>
          <w:iCs/>
        </w:rPr>
        <w:t xml:space="preserve">Динамика на многообразии фиксированного j_z: фазовый портрет и остаток табулированного гамильтониана.</w:t>
      </w:r>
      <w:r>
        <w:t xml:space="preserve"> </w:t>
      </w:r>
      <w:r>
        <w:t xml:space="preserve">Фазовый портрет (ω mod π, e) показывает либрацию ω около π/2 при циклировании e между 0.001 и 0.763733 (60°) / 0.897238 (70°); остаток гамильтониана вдоль траектории 60° не превышает 1.33×10⁻⁵ — это ошибка кубически-сплайнового представления на сетке 160 × 180, а не ошибка интегратора (DOP853, rtol 1e-8).</w:t>
      </w:r>
    </w:p>
    <w:p>
      <w:pPr>
        <w:pStyle w:val="BodyText"/>
      </w:pPr>
      <w:r>
        <w:rPr>
          <w:b/>
          <w:bCs/>
        </w:rPr>
        <w:t xml:space="preserve">Аналитические максимумы.</w:t>
      </w:r>
      <w:r>
        <w:t xml:space="preserve"> </w:t>
      </w:r>
      <w:r>
        <w:t xml:space="preserve">Главные проверки сравнивают максимумы сплайнового потока с замкнутыми эталонами: e_max = 0.7637326 измеренный против 0.7637626 аналитического при i₀ = 60° (отклонение 3.0×10⁻⁵) и 0.8972376 против 0.8972386 при 70° (отклонение 9.1×10⁻⁷) — оба далеко внутри полосы допуска 2×10⁻³. Сохраняющиеся величины j_z = 0.500000 (60°) и 0.342020 (70°) остаются постоянными вдоль потока, а записанный ряд эксцентриситета возвращается ровно к e₀ = 0.001 в каждом минимуме цикла (диапазон ряда 0.001 … 0.76372882 в JSON-протоколе).</w:t>
      </w:r>
    </w:p>
    <w:p>
      <w:pPr>
        <w:pStyle w:val="BodyText"/>
      </w:pPr>
      <w:r>
        <w:rPr>
          <w:b/>
          <w:bCs/>
        </w:rPr>
        <w:t xml:space="preserve">Геометрия обмена.</w:t>
      </w:r>
      <w:r>
        <w:t xml:space="preserve"> </w:t>
      </w:r>
      <w:r>
        <w:t xml:space="preserve">fig02 демонстрирует предсказанную выводом противофазную сцепку: эксцентриситет достигает максимума ровно тогда, когда наклонение проваливается до 39.2316° — численно неотличимо от i_crit = arccos√(3/5), — а аргумент перицентра либрирует вокруг π/2 (fig04). Фазовые портреты обоих главных прогонов ложатся на многообразия фиксированного j_z = 0.5 и j_z = 0.342020 — ведомость «эксцентриситет–наклонение» со схемы.</w:t>
      </w:r>
    </w:p>
    <w:p>
      <w:pPr>
        <w:pStyle w:val="BodyText"/>
      </w:pPr>
      <w:r>
        <w:rPr>
          <w:b/>
          <w:bCs/>
        </w:rPr>
        <w:t xml:space="preserve">Ландшафт и часы.</w:t>
      </w:r>
      <w:r>
        <w:t xml:space="preserve"> </w:t>
      </w:r>
      <w:r>
        <w:t xml:space="preserve">Развёртка по 12 наклонениям от 30° до 80° воспроизводит аналитический ландшафт с максимальным отклонением 1.128×10⁻⁵ по активной области; ниже i_crit (30°, 35°, 38°) эксцентриситет остаётся на e₀ = 0.001, а прогону 40° требуется 8-кратное удлинение интервала, поскольку период Козаи–Лидова расходится на пороге (40°: 0.14818829 расчёт против 0.14818857 аналитика; 45°: 0.40824826 против 0.40824829; 80°: 0.97455930 против 0.97454802). Часы масштабируются как 1/m₃: P(2m₃)/P(m₃) = 0.481 против идеала 0.5 (полоса 3%; P(m₃) = 103829.39, P(2m₃) = 49944.15 в единицах 1/n_in), а по m₃/M ∈ {0.5, 1, 2, 4} произведение P·m₃ разбросано лишь на 4.29% (221991.0, 111355.7, 54927.46, 28661.83).</w:t>
      </w:r>
    </w:p>
    <w:p>
      <w:pPr>
        <w:pStyle w:val="BodyText"/>
      </w:pPr>
      <w:r>
        <w:rPr>
          <w:b/>
          <w:bCs/>
        </w:rPr>
        <w:t xml:space="preserve">Прямая валидация и бюджет ошибок.</w:t>
      </w:r>
      <w:r>
        <w:t xml:space="preserve"> </w:t>
      </w:r>
      <w:r>
        <w:t xml:space="preserve">Независимый 3-D прогон даёт сглаженный максимальный эксцентриситет 0.7423 против 0.7638 аналитического — отклонение −2.8%, внутри ворот 8% и согласующееся с усечением до гексадекаполя и нетестовым отношением масс m₃/M = 0.5 при α = 0.2. Табулированный гамильтониан дрейфует не более чем на 1.33×10⁻⁵ вдоль потока — ошибка кубически-сплайнового представления на сетке 160 × 180, сознательно отделённая от ошибки интегратора (DOP853, rtol 1e-8). Каждое число этого абзаца хранится в JSON-протоколе с целью, допуском и флагом прохождения.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e_max_i0_60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e_max_i0_70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0.897238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0.897239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kl_period_halves_with_m3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direct_3d_emax_validation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квадрупольный порядок, пробная внутренняя орбита, круговая внешняя орбита, отсутствие диссипации. В этих допущениях выводы — точные утверждения об усреднённых уравнениях, а не симуляция конкретной системы. Естественные расширения сохраняют верификационный стиль: октупольный член для эксцентриковых компаньонов (эксцентриковый эффект Козаи–Лидова с переворотами орбит — Naoz 2016), гексадекапольная поправка, сравнимые массы и радиационная обратная связь (это TRX-11), а также приливное трение, сцепляющее циклы Козаи–Лидова со сжатием орбиты в канале горячих юпитеров.</w:t>
      </w:r>
    </w:p>
    <w:p>
      <w:pPr>
        <w:pStyle w:val="BodyText"/>
      </w:pPr>
      <w:r>
        <w:t xml:space="preserve">Отклонение −2.8% прямого прогона — не дефект, а измерение усечения: прямая задача при m₃/M = 0.5 и α = a_in/a_out = 0.2 лишь умеренно иерархична, и мультиполи высших порядков вместе с нарушением идеализации пробной частицы сдвигают истинный максимум эксцентриситета ниже квадрупольной формулы. То, что машина, построенная из ньютоновской гравитации и геометрии — без единой формулы Козаи–Лидова внутри, — попадает в 2.8% от существенно неидеализированного прямого интегрирования, — самое сильное утверждение исследования. Оставшаяся строка бюджета ошибок, остаток гамильтониана 1.33×10⁻⁵, — свойство сплайнового представления; его можно уменьшить сгущением сетки 160 × 180 ценой квадратичного роста времени табуляции.</w:t>
      </w:r>
    </w:p>
    <w:p>
      <w:pPr>
        <w:pStyle w:val="BodyText"/>
      </w:pPr>
      <w:r>
        <w:t xml:space="preserve">В рамках программы это исследование закрепляет секулярный небесный блок: TRX-01 рассматривает ту же ограниченную задачу в точках либрации вместо секулярных циклов, TRX-11 интегрирует трёхтелевую задачу со сравнимыми массами точно и с излучением, TRX-12 ставит лазерный парус в точку L4 той же небесной сцены. Лазерная связь прямая: циклы Козаи–Лидова — общепризнанный механизм формирования каналов слияний компактных объектов класса LISA (Blaes, Lee &amp; Socrates 2002), а лазерная дальнометрия двойных и тройных астероидов считывает именно те элементы орбиты, которые здесь осциллируют.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Двойной усреднённый квадрупольный гамильтониан, построенный численно (квадратура орбиты из 240 узлов, сплайновая сетка 160 × 180), воспроизводит аналитические максимумы e_max = 0.763763 (i₀ = 60°) и 0.897239 (70°) с отклонениями 3.0×10⁻⁵ и 9.1×10⁻⁷ — далеко внутри допуска 2×10⁻³.</w:t>
      </w:r>
    </w:p>
    <w:p>
      <w:pPr>
        <w:pStyle w:val="Compact"/>
        <w:numPr>
          <w:ilvl w:val="0"/>
          <w:numId w:val="1011"/>
        </w:numPr>
      </w:pPr>
      <w:r>
        <w:t xml:space="preserve">Обмен «эксцентриситет–наклонение» строго противофазен: e достигает максимума, когда i проваливается до i_crit = arccos√(3/5) = 39.23°, при сохранении j_z = 0.500000 (60°) и 0.342020 (70°) вдоль потока.</w:t>
      </w:r>
    </w:p>
    <w:p>
      <w:pPr>
        <w:pStyle w:val="Compact"/>
        <w:numPr>
          <w:ilvl w:val="0"/>
          <w:numId w:val="1011"/>
        </w:numPr>
      </w:pPr>
      <w:r>
        <w:t xml:space="preserve">Ландшафт Козаи e_max(i₀) подтверждён по 12 наклонениям от 30° до 80° с максимальным отклонением 1.128×10⁻⁵ по активной области; ниже i_crit эксцентриситет остаётся на e₀ = 0.001, а период Козаи–Лидова расходится на пороге (прогону 40° нужно 8-кратное удлинение).</w:t>
      </w:r>
    </w:p>
    <w:p>
      <w:pPr>
        <w:pStyle w:val="Compact"/>
        <w:numPr>
          <w:ilvl w:val="0"/>
          <w:numId w:val="1011"/>
        </w:numPr>
      </w:pPr>
      <w:r>
        <w:t xml:space="preserve">Часы Козаи–Лидова подчиняются закону P ∝ 1/m₃: измеренное отношение P(2m₃)/P(m₃) = 0.481 (идеал 0.5, полоса 3%), а произведение P·m₃ разбросано лишь на 4.29% по m₃/M ∈ {0.5, 1, 2, 4}.</w:t>
      </w:r>
    </w:p>
    <w:p>
      <w:pPr>
        <w:pStyle w:val="Compact"/>
        <w:numPr>
          <w:ilvl w:val="0"/>
          <w:numId w:val="1011"/>
        </w:numPr>
      </w:pPr>
      <w:r>
        <w:t xml:space="preserve">Независимое прямое интегрирование полной 3-D ограниченной задачи (m₃/M = 0.5, a_out = 5 a_in, 200 внешних оборотов) даёт сглаженный максимальный эксцентриситет 0.7423 против 0.7638 — отклонение −2.8%, согласующееся с усечением до гексадекаполя и конечным отношением масс.</w:t>
      </w:r>
    </w:p>
    <w:p>
      <w:pPr>
        <w:pStyle w:val="Compact"/>
        <w:numPr>
          <w:ilvl w:val="0"/>
          <w:numId w:val="1011"/>
        </w:numPr>
      </w:pPr>
      <w:r>
        <w:t xml:space="preserve">Табулированный гамильтониан сохраняется вдоль потока с точностью 1.33×10⁻⁵ — честный бюджет ошибок сплайнового представления, приводимый рядом с каждой проверкой в JSON-протоколе.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Kozai, Y. (1962).</w:t>
      </w:r>
      <w:r>
        <w:t xml:space="preserve"> </w:t>
      </w:r>
      <w:r>
        <w:rPr>
          <w:i/>
          <w:iCs/>
        </w:rPr>
        <w:t xml:space="preserve">Secular perturbations of asteroids with high inclination and eccentricity.</w:t>
      </w:r>
      <w:r>
        <w:t xml:space="preserve"> </w:t>
      </w:r>
      <w:r>
        <w:t xml:space="preserve">Astronomical Journal 67, 591–598.</w:t>
      </w:r>
    </w:p>
    <w:p>
      <w:pPr>
        <w:pStyle w:val="Compact"/>
        <w:numPr>
          <w:ilvl w:val="0"/>
          <w:numId w:val="1012"/>
        </w:numPr>
      </w:pPr>
      <w:r>
        <w:t xml:space="preserve">Lidov, M. L. (1962).</w:t>
      </w:r>
      <w:r>
        <w:t xml:space="preserve"> </w:t>
      </w:r>
      <w:r>
        <w:rPr>
          <w:i/>
          <w:iCs/>
        </w:rPr>
        <w:t xml:space="preserve">The evolution of orbits of artificial satellites of planets under the action of gravitational perturbations of external bodies.</w:t>
      </w:r>
      <w:r>
        <w:t xml:space="preserve"> </w:t>
      </w:r>
      <w:r>
        <w:t xml:space="preserve">Planetary and Space Science 9, 719–759.</w:t>
      </w:r>
    </w:p>
    <w:p>
      <w:pPr>
        <w:pStyle w:val="Compact"/>
        <w:numPr>
          <w:ilvl w:val="0"/>
          <w:numId w:val="1012"/>
        </w:numPr>
      </w:pPr>
      <w:r>
        <w:t xml:space="preserve">von Zeipel, H. (1910).</w:t>
      </w:r>
      <w:r>
        <w:t xml:space="preserve"> </w:t>
      </w:r>
      <w:r>
        <w:rPr>
          <w:i/>
          <w:iCs/>
        </w:rPr>
        <w:t xml:space="preserve">Sur les perturbations séculaires des orbites astronomiques.</w:t>
      </w:r>
      <w:r>
        <w:t xml:space="preserve"> </w:t>
      </w:r>
      <w:r>
        <w:t xml:space="preserve">Astronomische Nachrichten 183, 345–362.</w:t>
      </w:r>
    </w:p>
    <w:p>
      <w:pPr>
        <w:pStyle w:val="Compact"/>
        <w:numPr>
          <w:ilvl w:val="0"/>
          <w:numId w:val="1012"/>
        </w:numPr>
      </w:pPr>
      <w:r>
        <w:t xml:space="preserve">Naoz, S. (2016).</w:t>
      </w:r>
      <w:r>
        <w:t xml:space="preserve"> </w:t>
      </w:r>
      <w:r>
        <w:rPr>
          <w:i/>
          <w:iCs/>
        </w:rPr>
        <w:t xml:space="preserve">The eccentric Kozai–Lidov effect and beyond.</w:t>
      </w:r>
      <w:r>
        <w:t xml:space="preserve"> </w:t>
      </w:r>
      <w:r>
        <w:t xml:space="preserve">Annual Review of Astronomy and Astrophysics 54, 341–396.</w:t>
      </w:r>
    </w:p>
    <w:p>
      <w:pPr>
        <w:pStyle w:val="Compact"/>
        <w:numPr>
          <w:ilvl w:val="0"/>
          <w:numId w:val="1012"/>
        </w:numPr>
      </w:pPr>
      <w:r>
        <w:t xml:space="preserve">Shevchenko, I. I. (2017).</w:t>
      </w:r>
      <w:r>
        <w:t xml:space="preserve"> </w:t>
      </w:r>
      <w:r>
        <w:rPr>
          <w:i/>
          <w:iCs/>
        </w:rPr>
        <w:t xml:space="preserve">The Lidov–Kozai Effect — Applications in Celestial Mechanics.</w:t>
      </w:r>
      <w:r>
        <w:t xml:space="preserve"> </w:t>
      </w:r>
      <w:r>
        <w:t xml:space="preserve">Springer, Astrophysics and Space Science Library 441.</w:t>
      </w:r>
    </w:p>
    <w:p>
      <w:pPr>
        <w:pStyle w:val="Compact"/>
        <w:numPr>
          <w:ilvl w:val="0"/>
          <w:numId w:val="1012"/>
        </w:numPr>
      </w:pPr>
      <w:r>
        <w:t xml:space="preserve">Ito, T., Ohtsuka, K. (2019).</w:t>
      </w:r>
      <w:r>
        <w:t xml:space="preserve"> </w:t>
      </w:r>
      <w:r>
        <w:rPr>
          <w:i/>
          <w:iCs/>
        </w:rPr>
        <w:t xml:space="preserve">The Lidov–Kozai oscillation and Hirayama families.</w:t>
      </w:r>
      <w:r>
        <w:t xml:space="preserve"> </w:t>
      </w:r>
      <w:r>
        <w:t xml:space="preserve">Monographic Notices of the National Astronomical Observatory of Japan 1, 1–168.</w:t>
      </w:r>
    </w:p>
    <w:p>
      <w:pPr>
        <w:pStyle w:val="Compact"/>
        <w:numPr>
          <w:ilvl w:val="0"/>
          <w:numId w:val="1012"/>
        </w:numPr>
      </w:pPr>
      <w:r>
        <w:t xml:space="preserve">Murray, C. D., Dermott, S. F. (1999).</w:t>
      </w:r>
      <w:r>
        <w:t xml:space="preserve"> </w:t>
      </w:r>
      <w:r>
        <w:rPr>
          <w:i/>
          <w:iCs/>
        </w:rPr>
        <w:t xml:space="preserve">Solar System Dynamics.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0"/>
          <w:numId w:val="1012"/>
        </w:numPr>
      </w:pPr>
      <w:r>
        <w:t xml:space="preserve">Wu, Y., Murray, N. W. (2003).</w:t>
      </w:r>
      <w:r>
        <w:t xml:space="preserve"> </w:t>
      </w:r>
      <w:r>
        <w:rPr>
          <w:i/>
          <w:iCs/>
        </w:rPr>
        <w:t xml:space="preserve">Planet migration and binary companions: the case of HD 80606.</w:t>
      </w:r>
      <w:r>
        <w:t xml:space="preserve"> </w:t>
      </w:r>
      <w:r>
        <w:t xml:space="preserve">The Astrophysical Journal 589, 605–614.</w:t>
      </w:r>
    </w:p>
    <w:p>
      <w:pPr>
        <w:pStyle w:val="Compact"/>
        <w:numPr>
          <w:ilvl w:val="0"/>
          <w:numId w:val="1012"/>
        </w:numPr>
      </w:pPr>
      <w:r>
        <w:t xml:space="preserve">Fabrycky, D., Tremaine, S. (2007).</w:t>
      </w:r>
      <w:r>
        <w:t xml:space="preserve"> </w:t>
      </w:r>
      <w:r>
        <w:rPr>
          <w:i/>
          <w:iCs/>
        </w:rPr>
        <w:t xml:space="preserve">Shrinking binary and planetary orbits by the Kozai cycle with tidal friction.</w:t>
      </w:r>
      <w:r>
        <w:t xml:space="preserve"> </w:t>
      </w:r>
      <w:r>
        <w:t xml:space="preserve">The Astrophysical Journal 669, 1298–1315.</w:t>
      </w:r>
    </w:p>
    <w:p>
      <w:pPr>
        <w:pStyle w:val="Compact"/>
        <w:numPr>
          <w:ilvl w:val="0"/>
          <w:numId w:val="1012"/>
        </w:numPr>
      </w:pPr>
      <w:r>
        <w:t xml:space="preserve">Blaes, O., Lee, M. H., Socrates, A. (2002).</w:t>
      </w:r>
      <w:r>
        <w:t xml:space="preserve"> </w:t>
      </w:r>
      <w:r>
        <w:rPr>
          <w:i/>
          <w:iCs/>
        </w:rPr>
        <w:t xml:space="preserve">The Kozai mechanism and the evolution of binary supermassive black holes.</w:t>
      </w:r>
      <w:r>
        <w:t xml:space="preserve"> </w:t>
      </w:r>
      <w:r>
        <w:t xml:space="preserve">The Astrophysical Journal 578, 775–786.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kozai1962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{Kozai, Yoshihide},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{Secular perturbations of asteroids with high inclination and eccentricity},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{Astronomical Journal},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{1962},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{67},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{591--598}}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lidov1962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{Lidov, Mikhail L.},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{The evolution of orbits of artificial satellites of planets under the action of gravitational perturbations of external bodies},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{Planetary and Space Science},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{1962},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{9},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{719--759}}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naoz2016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{Naoz, Smadar},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{The eccentric Kozai--Lidov effect and beyond},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{Annual Review of Astronomy and Astrophysics},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{2016},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{54},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{341--396}}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shevchenko2017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{Shevchenko, Ivan I.},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{The Lidov--Kozai Effect: Applications in Celestial Mechanics},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{Springer}, </w:t>
      </w:r>
      <w:r>
        <w:rPr>
          <w:rStyle w:val="StringTok"/>
        </w:rPr>
        <w:t xml:space="preserve">series</w:t>
      </w:r>
      <w:r>
        <w:rPr>
          <w:rStyle w:val="NormalTok"/>
        </w:rPr>
        <w:t xml:space="preserve"> = {Astrophysics and Space Science Library 441},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{2017}}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ito2019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{Ito, Takashi and Ohtsuka, Katsuhito},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{The Lidov--Kozai oscillation and Hirayama families},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{Monographic Notices of the National Astronomical Observatory of Japan},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{2019},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{1--168}}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начальный эксцентриситет (почти круг)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ω₀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π/2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начальный аргумент перицентра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{60°, 70°}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начальные наклонения главных прогонов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m₃/M (секулярно)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 главный; {0.5, 1, 2, 4} развёртка часов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отношение массы возмутителя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a_out (секулярно)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радиус внешней орбиты, иерархия α = 0.05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секулярная сетка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160 × 180 (e × ω)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сплайновая табуляция ⟨U⟩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квадратура орбиты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узлов по истинной аномалии, веса ∝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кеплеровское среднее по времени внутренней орбиты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секулярный интегратор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DOP853, rtol 1e-8, atol 1e-9, max_step T/1500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канонический сплайновый поток, 3 цикла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прямой прогон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m₃/M = 0.5, a_out = 5 a_in, 200 внешних периодов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3-D ограниченная задача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прямой интегратор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DOP853, rtol = atol = 1e-11, 60000 шагов, 40000 выборок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оскулирующий e со сглаживанием за один внешний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64.6 с полный, &lt; 20 с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референсная машина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research/TRX-10-kozai-lidov/research/TRX-XX/code/trx10_kozai_lidov.py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research/TRX-10-kozai-lidov/research/TRX-XX/code/trx10_kozai_lidov.py              </w:t>
      </w:r>
      <w:r>
        <w:rPr>
          <w:rStyle w:val="CommentTok"/>
        </w:rPr>
        <w:t xml:space="preserve"># полный прогон, 64.6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research/TRX-10-kozai-lidov/research/TRX-XX/code/trx10_kozai_lidov.py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64.6 s;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Колебания Козаи–Лидова в иерархических тройных системах — TRIVORTEX Study TRX-10</dc:title>
  <dc:creator>Isaev Iskhak Khamzatovich</dc:creator>
  <dc:language>ru</dc:language>
  <cp:keywords>TRIVORTEX, three-body, vortex, TRX</cp:keywords>
  <dcterms:created xsi:type="dcterms:W3CDTF">2026-10-07T06:44:23Z</dcterms:created>
  <dcterms:modified xsi:type="dcterms:W3CDTF">2026-10-07T06:44:23Z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