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PLANETVORTEX</w:t>
      </w:r>
    </w:p>
    <w:bookmarkStart w:id="24" w:name="X353009d5fec7798040f5eeead4d22b191545902"/>
    <w:p>
      <w:pPr>
        <w:pStyle w:val="Heading1"/>
      </w:pPr>
      <w:r>
        <w:t xml:space="preserve">PLANETVORTEX — Lemma D — the Kepler register and the mass correction</w:t>
      </w:r>
    </w:p>
    <w:p>
      <w:pPr>
        <w:pStyle w:val="FirstParagraph"/>
      </w:pPr>
      <w:r>
        <w:rPr>
          <w:i/>
          <w:iCs/>
        </w:rPr>
        <w:t xml:space="preserve">The theorem edition of the planetary gravity-geometry bench — mini-repository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planetvortex/</w:t>
      </w:r>
      <w:r>
        <w:rPr>
          <w:i/>
          <w:iCs/>
        </w:rPr>
        <w:t xml:space="preserve"> </w:t>
      </w:r>
      <w:r>
        <w:rPr>
          <w:i/>
          <w:iCs/>
        </w:rPr>
        <w:t xml:space="preserve">of the TRIVORTEX framework, version 1.0.0. This dossier binds one statement to its registered protocol; the full science lives in the big monograph (</w:t>
      </w:r>
      <w:r>
        <w:rPr>
          <w:rStyle w:val="VerbatimChar"/>
          <w:i/>
          <w:iCs/>
        </w:rPr>
        <w:t xml:space="preserve">docs/monograph/</w:t>
      </w:r>
      <w:r>
        <w:rPr>
          <w:i/>
          <w:iCs/>
        </w:rPr>
        <w:t xml:space="preserve">).</w:t>
      </w:r>
    </w:p>
    <w:bookmarkStart w:id="20" w:name="statement"/>
    <w:p>
      <w:pPr>
        <w:pStyle w:val="Heading2"/>
      </w:pPr>
      <w:r>
        <w:t xml:space="preserve">Statement</w:t>
      </w:r>
    </w:p>
    <w:p>
      <w:pPr>
        <w:pStyle w:val="FirstParagraph"/>
      </w:pPr>
      <w:r>
        <w:t xml:space="preserve">For a planet of mass ratio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t xml:space="preserve">on the committed orbit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the two-body period is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⊙</m:t>
                        </m:r>
                      </m:sub>
                    </m:sSub>
                  </m:e>
                </m:d>
              </m:e>
            </m:d>
          </m:e>
        </m:rad>
      </m:oMath>
      <w:r>
        <w:t xml:space="preserve">. The period measured from interpolated perihelion passages of the RK4 two-body flow matches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relative across all eight planets; the uncorrected formula</w:t>
      </w:r>
      <w:r>
        <w:t xml:space="preserve"> </w:t>
      </w:r>
      <m:oMath>
        <m:r>
          <m:t>2</m:t>
        </m:r>
        <m:r>
          <m:t>π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rPr>
                    <m:sty m:val="p"/>
                  </m:rPr>
                  <m:t>⊙</m:t>
                </m:r>
              </m:sub>
            </m:sSub>
          </m:e>
        </m:rad>
      </m:oMath>
      <w:r>
        <w:t xml:space="preserve"> </w:t>
      </w:r>
      <w:r>
        <w:t xml:space="preserve">misses by the exact signature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⊙</m:t>
                </m:r>
              </m:sub>
            </m:sSub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2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  <m:r>
          <m:rPr>
            <m:sty m:val="p"/>
          </m:rPr>
          <m:t>+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m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, up to</w:t>
      </w:r>
      <w:r>
        <w:t xml:space="preserve"> </w:t>
      </w:r>
      <m:oMath>
        <m:r>
          <m:t>4.77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for Jupiter.</w:t>
      </w:r>
    </w:p>
    <w:bookmarkEnd w:id="20"/>
    <w:bookmarkStart w:id="21" w:name="proof"/>
    <w:p>
      <w:pPr>
        <w:pStyle w:val="Heading2"/>
      </w:pPr>
      <w:r>
        <w:t xml:space="preserve">Proof</w:t>
      </w:r>
    </w:p>
    <w:p>
      <w:pPr>
        <w:pStyle w:val="FirstParagraph"/>
      </w:pPr>
      <w:r>
        <w:t xml:space="preserve">The two-body relative flow is exactly Keplerian, so the measured period converges to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at the integrator’s phase accuracy; the parabolic interpolation of the perihelion minima cancels its systematic bias between successive minima to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t</m:t>
                </m:r>
              </m:e>
            </m:d>
          </m:e>
          <m:sup>
            <m:r>
              <m:t>4</m:t>
            </m:r>
          </m:sup>
        </m:sSup>
      </m:oMath>
      <w:r>
        <w:t xml:space="preserve">. The uncorrected ratio is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  <m:r>
              <m:t>n</m:t>
            </m:r>
            <m:r>
              <m:t>c</m:t>
            </m:r>
            <m:r>
              <m:t>o</m:t>
            </m:r>
            <m:r>
              <m:t>r</m:t>
            </m:r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⊙</m:t>
                </m:r>
              </m:sub>
            </m:sSub>
          </m:e>
        </m:rad>
      </m:oMath>
      <w:r>
        <w:t xml:space="preserve"> </w:t>
      </w:r>
      <w:r>
        <w:t xml:space="preserve">exactly, whence the signature. The recorded separation of the two registers is a factor</w:t>
      </w:r>
      <w:r>
        <w:t xml:space="preserve"> </w:t>
      </w:r>
      <m:oMath>
        <m:r>
          <m:t>7.7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; the committed fact-sheet periods are recorded as a provenance diagnostic at</w:t>
      </w:r>
      <w:r>
        <w:t xml:space="preserve"> </w:t>
      </w:r>
      <m:oMath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(Neptune worst) — rounded and epoch-mixed.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protocol-binding"/>
    <w:p>
      <w:pPr>
        <w:pStyle w:val="Heading2"/>
      </w:pPr>
      <w:r>
        <w:t xml:space="preserve">Protocol binding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 registers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results/protocols/</w:t>
            </w:r>
            <w:r>
              <w:t xml:space="preserve"> </w:t>
            </w:r>
            <w:r>
              <w:t xml:space="preserve">(default preset)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re-derives every preset-independent register</w:t>
            </w:r>
          </w:p>
        </w:tc>
      </w:tr>
    </w:tbl>
    <w:bookmarkEnd w:id="22"/>
    <w:bookmarkStart w:id="23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t xml:space="preserve">the parent framework: Theorem 3.1 and the three-vortex anchor;</w:t>
      </w:r>
    </w:p>
    <w:p>
      <w:pPr>
        <w:pStyle w:val="Compact"/>
        <w:numPr>
          <w:ilvl w:val="0"/>
          <w:numId w:val="1001"/>
        </w:numPr>
      </w:pPr>
      <w:r>
        <w:t xml:space="preserve">the sibling bench</w:t>
      </w:r>
      <w:r>
        <w:t xml:space="preserve"> </w:t>
      </w:r>
      <w:r>
        <w:rPr>
          <w:rStyle w:val="VerbatimChar"/>
        </w:rPr>
        <w:t xml:space="preserve">polyvortex</w:t>
      </w:r>
      <w:r>
        <w:t xml:space="preserve">: the W2/W4 registers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the same heptagon, cross-pinned bit-for-bit;</w:t>
      </w:r>
    </w:p>
    <w:p>
      <w:pPr>
        <w:pStyle w:val="Compact"/>
        <w:numPr>
          <w:ilvl w:val="0"/>
          <w:numId w:val="1001"/>
        </w:numPr>
      </w:pPr>
      <w:r>
        <w:t xml:space="preserve">the big monograph: Sections 3 (Theorem A), 6 (Theorem C), 7 (Theorem B), 4 (Lemma D), 8 (Lemma E);</w:t>
      </w:r>
    </w:p>
    <w:p>
      <w:pPr>
        <w:pStyle w:val="Compact"/>
        <w:numPr>
          <w:ilvl w:val="0"/>
          <w:numId w:val="1001"/>
        </w:numPr>
      </w:pPr>
      <w:r>
        <w:t xml:space="preserve">the formalization queue: roadmap item V4 (Coq / Lean 4).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PLANETVORTEX</dc:title>
  <dc:creator/>
  <cp:keywords/>
  <dcterms:created xsi:type="dcterms:W3CDTF">2026-10-08T19:03:07Z</dcterms:created>
  <dcterms:modified xsi:type="dcterms:W3CDTF">2026-10-08T19:03:07Z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