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PLANETVORTEX</w:t>
      </w:r>
    </w:p>
    <w:bookmarkStart w:id="24" w:name="X861b83183d520cc7cecfc7db0e5169ec4cee0bd"/>
    <w:p>
      <w:pPr>
        <w:pStyle w:val="Heading1"/>
      </w:pPr>
      <w:r>
        <w:t xml:space="preserve">PLANETVORTEX — Лемма D — регистр Кеплера и поправка на массу</w:t>
      </w:r>
    </w:p>
    <w:p>
      <w:pPr>
        <w:pStyle w:val="FirstParagraph"/>
      </w:pPr>
      <w:r>
        <w:rPr>
          <w:i/>
          <w:iCs/>
        </w:rPr>
        <w:t xml:space="preserve">Теоремное издание планетарного гравитационно-геометрического стенда — мини-репозиторий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planetvortex/</w:t>
      </w:r>
      <w:r>
        <w:rPr>
          <w:i/>
          <w:iCs/>
        </w:rPr>
        <w:t xml:space="preserve"> </w:t>
      </w:r>
      <w:r>
        <w:rPr>
          <w:i/>
          <w:iCs/>
        </w:rPr>
        <w:t xml:space="preserve">фреймворка TRIVORTEX, версия 1.0.0. Этот досье связывает одно утверждение с его зарегистрированным протоколом; полная наука живёт в большой монографии (</w:t>
      </w:r>
      <w:r>
        <w:rPr>
          <w:rStyle w:val="VerbatimChar"/>
          <w:i/>
          <w:iCs/>
        </w:rPr>
        <w:t xml:space="preserve">docs/monograph/</w:t>
      </w:r>
      <w:r>
        <w:rPr>
          <w:i/>
          <w:iCs/>
        </w:rPr>
        <w:t xml:space="preserve">).</w:t>
      </w:r>
    </w:p>
    <w:bookmarkStart w:id="20" w:name="утверждение"/>
    <w:p>
      <w:pPr>
        <w:pStyle w:val="Heading2"/>
      </w:pPr>
      <w:r>
        <w:t xml:space="preserve">Утверждение</w:t>
      </w:r>
    </w:p>
    <w:p>
      <w:pPr>
        <w:pStyle w:val="FirstParagraph"/>
      </w:pPr>
      <w:r>
        <w:t xml:space="preserve">Для планеты с отношением масс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rPr>
                <m:sty m:val="p"/>
              </m:rPr>
              <m:t>⊙</m:t>
            </m:r>
          </m:sub>
        </m:sSub>
      </m:oMath>
      <w:r>
        <w:t xml:space="preserve"> </w:t>
      </w:r>
      <w:r>
        <w:t xml:space="preserve">на коммит-орбите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двухтелевой период есть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2</m:t>
        </m:r>
        <m:r>
          <m:t>π</m:t>
        </m:r>
        <m:rad>
          <m:radPr>
            <m:degHide m:val="on"/>
          </m:radPr>
          <m:deg/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3</m:t>
                </m:r>
              </m:sup>
            </m:sSubSup>
            <m:r>
              <m:rPr>
                <m:sty m:val="p"/>
              </m:rPr>
              <m:t>/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rPr>
                        <m:sty m:val="p"/>
                      </m:rPr>
                      <m:t>G</m:t>
                    </m:r>
                    <m:r>
                      <m:rPr>
                        <m:sty m:val="p"/>
                      </m:rPr>
                      <m:t>M</m:t>
                    </m:r>
                  </m:e>
                  <m:sub>
                    <m:r>
                      <m:rPr>
                        <m:sty m:val="p"/>
                      </m:rPr>
                      <m:t>⊙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rPr>
                            <m:sty m:val="p"/>
                          </m:rPr>
                          <m:t>⊙</m:t>
                        </m:r>
                      </m:sub>
                    </m:sSub>
                  </m:e>
                </m:d>
              </m:e>
            </m:d>
          </m:e>
        </m:rad>
      </m:oMath>
      <w:r>
        <w:t xml:space="preserve">. Период, измеренный по интерполированным прохождениям перигелия двухтелевого потока RK4, совпадает с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до</w:t>
      </w:r>
      <w:r>
        <w:t xml:space="preserve"> </w:t>
      </w:r>
      <m:oMath>
        <m:r>
          <m:t>6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t xml:space="preserve"> </w:t>
      </w:r>
      <w:r>
        <w:t xml:space="preserve">по всем восьми планетам; неисправленная формула</w:t>
      </w:r>
      <w:r>
        <w:t xml:space="preserve"> </w:t>
      </w:r>
      <m:oMath>
        <m:r>
          <m:t>2</m:t>
        </m:r>
        <m:r>
          <m:t>π</m:t>
        </m:r>
        <m:rad>
          <m:radPr>
            <m:degHide m:val="on"/>
          </m:radPr>
          <m:deg/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3</m:t>
                </m:r>
              </m:sup>
            </m:sSubSup>
            <m:r>
              <m:rPr>
                <m:sty m:val="p"/>
              </m:rPr>
              <m:t>/</m:t>
            </m:r>
            <m:sSub>
              <m:e>
                <m:r>
                  <m:rPr>
                    <m:sty m:val="p"/>
                  </m:rPr>
                  <m:t>G</m:t>
                </m:r>
                <m:r>
                  <m:rPr>
                    <m:sty m:val="p"/>
                  </m:rPr>
                  <m:t>M</m:t>
                </m:r>
              </m:e>
              <m:sub>
                <m:r>
                  <m:rPr>
                    <m:sty m:val="p"/>
                  </m:rPr>
                  <m:t>⊙</m:t>
                </m:r>
              </m:sub>
            </m:sSub>
          </m:e>
        </m:rad>
      </m:oMath>
      <w:r>
        <w:t xml:space="preserve"> </w:t>
      </w:r>
      <w:r>
        <w:t xml:space="preserve">промахивается на точную сигнатуру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sSub>
              <m:e>
                <m:r>
                  <m:t>m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rPr>
                    <m:sty m:val="p"/>
                  </m:rPr>
                  <m:t>⊙</m:t>
                </m:r>
              </m:sub>
            </m:sSub>
          </m:e>
        </m:rad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2</m:t>
        </m:r>
        <m:sSub>
          <m:e>
            <m:r>
              <m:t>M</m:t>
            </m:r>
          </m:e>
          <m:sub>
            <m:r>
              <m:rPr>
                <m:sty m:val="p"/>
              </m:rPr>
              <m:t>⊙</m:t>
            </m:r>
          </m:sub>
        </m:sSub>
        <m:r>
          <m:rPr>
            <m:sty m:val="p"/>
          </m:rPr>
          <m:t>+</m:t>
        </m:r>
        <m:r>
          <m:t>O</m:t>
        </m:r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m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</m:oMath>
      <w:r>
        <w:t xml:space="preserve">, до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77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для Юпитера.</w:t>
      </w:r>
    </w:p>
    <w:bookmarkEnd w:id="20"/>
    <w:bookmarkStart w:id="21" w:name="доказательство"/>
    <w:p>
      <w:pPr>
        <w:pStyle w:val="Heading2"/>
      </w:pPr>
      <w:r>
        <w:t xml:space="preserve">Доказательство</w:t>
      </w:r>
    </w:p>
    <w:p>
      <w:pPr>
        <w:pStyle w:val="FirstParagraph"/>
      </w:pPr>
      <w:r>
        <w:t xml:space="preserve">Двухтелевое относительное движение точно кеплерово, потому измеренный период сходится к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с фазовой точностью интегратора; параболическая интерполяция минимумов перигелия взаимно гасит систематическое смещение между соседними минимумами до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t> </m:t>
                </m:r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t</m:t>
                </m:r>
              </m:e>
            </m:d>
          </m:e>
          <m:sup>
            <m:r>
              <m:t>4</m:t>
            </m:r>
          </m:sup>
        </m:sSup>
      </m:oMath>
      <w:r>
        <w:t xml:space="preserve">. Неисправленное отношение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неиспр</m:t>
            </m:r>
          </m:sub>
        </m:sSub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/</m:t>
            </m:r>
            <m:r>
              <m:t>4</m:t>
            </m:r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sSub>
              <m:e>
                <m:r>
                  <m:t>m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rPr>
                    <m:sty m:val="p"/>
                  </m:rPr>
                  <m:t>⊙</m:t>
                </m:r>
              </m:sub>
            </m:sSub>
          </m:e>
        </m:rad>
      </m:oMath>
      <w:r>
        <w:t xml:space="preserve"> </w:t>
      </w:r>
      <w:r>
        <w:t xml:space="preserve">точно, откуда сигнатура. Записанный разрыв двух регистров — фактор</w:t>
      </w:r>
      <w:r>
        <w:t xml:space="preserve"> </w:t>
      </w:r>
      <m:oMath>
        <m:r>
          <m:t>7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8</m:t>
            </m:r>
          </m:sup>
        </m:sSup>
      </m:oMath>
      <w:r>
        <w:t xml:space="preserve">; коммит-периоды факт-листа записаны диагностикой происхождения на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(хуже всех Нептун) — округлены и перемешаны по эпохам.</w:t>
      </w:r>
      <w:r>
        <w:t xml:space="preserve"> </w:t>
      </w:r>
      <m:oMath>
        <m:r>
          <m:rPr>
            <m:sty m:val="p"/>
          </m:rPr>
          <m:t>▫</m:t>
        </m:r>
      </m:oMath>
    </w:p>
    <w:bookmarkEnd w:id="21"/>
    <w:bookmarkStart w:id="22" w:name="протокольная-привязка"/>
    <w:p>
      <w:pPr>
        <w:pStyle w:val="Heading2"/>
      </w:pPr>
      <w:r>
        <w:t xml:space="preserve">Протокольная привязка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пункт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ступень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записанные регистры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6.2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файл протокола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results/protocols/</w:t>
            </w:r>
            <w:r>
              <w:t xml:space="preserve"> </w:t>
            </w:r>
            <w:r>
              <w:t xml:space="preserve">(пресет default)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тестовый гвард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</w:t>
            </w:r>
            <w:r>
              <w:t xml:space="preserve"> </w:t>
            </w:r>
            <w:r>
              <w:t xml:space="preserve">перевыводит каждый регистр, независимый от пресета</w:t>
            </w:r>
          </w:p>
        </w:tc>
      </w:tr>
    </w:tbl>
    <w:bookmarkEnd w:id="22"/>
    <w:bookmarkStart w:id="23" w:name="перекрёстные-ссылки"/>
    <w:p>
      <w:pPr>
        <w:pStyle w:val="Heading2"/>
      </w:pPr>
      <w:r>
        <w:t xml:space="preserve">Перекрёстные ссылки</w:t>
      </w:r>
    </w:p>
    <w:p>
      <w:pPr>
        <w:pStyle w:val="Compact"/>
        <w:numPr>
          <w:ilvl w:val="0"/>
          <w:numId w:val="1001"/>
        </w:numPr>
      </w:pPr>
      <w:r>
        <w:t xml:space="preserve">родительский фреймворк: теорема 3.1 и трёхвихревой якорь;</w:t>
      </w:r>
    </w:p>
    <w:p>
      <w:pPr>
        <w:pStyle w:val="Compact"/>
        <w:numPr>
          <w:ilvl w:val="0"/>
          <w:numId w:val="1001"/>
        </w:numPr>
      </w:pPr>
      <w:r>
        <w:t xml:space="preserve">соседний стенд</w:t>
      </w:r>
      <w:r>
        <w:t xml:space="preserve"> </w:t>
      </w:r>
      <w:r>
        <w:rPr>
          <w:rStyle w:val="VerbatimChar"/>
        </w:rPr>
        <w:t xml:space="preserve">polyvortex</w:t>
      </w:r>
      <w:r>
        <w:t xml:space="preserve">: регистры W2/W4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— тот же семиугольник, запинненный бит-в-бит;</w:t>
      </w:r>
    </w:p>
    <w:p>
      <w:pPr>
        <w:pStyle w:val="Compact"/>
        <w:numPr>
          <w:ilvl w:val="0"/>
          <w:numId w:val="1001"/>
        </w:numPr>
      </w:pPr>
      <w:r>
        <w:t xml:space="preserve">большая монография: разделы 3 (теорема A), 6 (теорема C), 7 (теорема B), 4 (лемма D), 8 (лемма E);</w:t>
      </w:r>
    </w:p>
    <w:p>
      <w:pPr>
        <w:pStyle w:val="Compact"/>
        <w:numPr>
          <w:ilvl w:val="0"/>
          <w:numId w:val="1001"/>
        </w:numPr>
      </w:pPr>
      <w:r>
        <w:t xml:space="preserve">очередь формализации: пункт роадмапа V4 (Coq / Lean 4).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PLANETVORTEX</dc:title>
  <dc:creator/>
  <cp:keywords/>
  <dcterms:created xsi:type="dcterms:W3CDTF">2026-10-08T19:03:07Z</dcterms:created>
  <dcterms:modified xsi:type="dcterms:W3CDTF">2026-10-08T19:03:07Z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