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cc9026d9a16a23505c61717a046e963f954aab7"/>
    <w:p>
      <w:pPr>
        <w:pStyle w:val="Heading1"/>
      </w:pPr>
      <w:r>
        <w:t xml:space="preserve">PLANETVORTEX — Lemma E — the mass-ladder deficit</w:t>
      </w:r>
    </w:p>
    <w:p>
      <w:pPr>
        <w:pStyle w:val="FirstParagraph"/>
      </w:pPr>
      <w:r>
        <w:rPr>
          <w:i/>
          <w:iCs/>
        </w:rPr>
        <w:t xml:space="preserve">The theorem edition of the planetary gravity-geometry bench — mini-repository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of the TRIVORTEX framework, version 1.0.0. This dossier binds one statement to its registered protocol; the full science lives in the big monograph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The gravity ladder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t xml:space="preserve"> </w:t>
      </w:r>
      <w:r>
        <w:t xml:space="preserve">carried by the seven stations spans</w:t>
      </w:r>
      <w:r>
        <w:t xml:space="preserve"> </w:t>
      </w:r>
      <m:oMath>
        <m:r>
          <m:rPr>
            <m:sty m:val="p"/>
          </m:rPr>
          <m:t>−</m:t>
        </m:r>
        <m:r>
          <m:t>1.26</m:t>
        </m:r>
      </m:oMath>
      <w:r>
        <w:t xml:space="preserve"> </w:t>
      </w:r>
      <w:r>
        <w:t xml:space="preserve">(Mercury) to</w:t>
      </w:r>
      <w:r>
        <w:t xml:space="preserve"> </w:t>
      </w:r>
      <m:oMath>
        <m:r>
          <m:rPr>
            <m:sty m:val="p"/>
          </m:rPr>
          <m:t>+</m:t>
        </m:r>
        <m:r>
          <m:t>2.50</m:t>
        </m:r>
      </m:oMath>
      <w:r>
        <w:t xml:space="preserve"> </w:t>
      </w:r>
      <w:r>
        <w:t xml:space="preserve">(Jupiter). Summed over the seven Fano lines it ranges from</w:t>
      </w:r>
      <w:r>
        <w:t xml:space="preserve"> </w:t>
      </w:r>
      <m:oMath>
        <m:r>
          <m:t>0.008</m:t>
        </m:r>
      </m:oMath>
      <w:r>
        <w:t xml:space="preserve"> </w:t>
      </w:r>
      <w:r>
        <w:t xml:space="preserve">(Mercury+Mars+Neptune) to</w:t>
      </w:r>
      <w:r>
        <w:t xml:space="preserve"> </w:t>
      </w:r>
      <m:oMath>
        <m:r>
          <m:t>6.715</m:t>
        </m:r>
      </m:oMath>
      <w:r>
        <w:t xml:space="preserve"> </w:t>
      </w:r>
      <w:r>
        <w:t xml:space="preserve">(Jupiter+Saturn+Neptune) — a spread of</w:t>
      </w:r>
      <w:r>
        <w:t xml:space="preserve"> </w:t>
      </w:r>
      <m:oMath>
        <m:r>
          <m:t>6.71</m:t>
        </m:r>
      </m:oMath>
      <w:r>
        <w:t xml:space="preserve"> </w:t>
      </w:r>
      <w:r>
        <w:t xml:space="preserve">dex. Dynamically, a mild 10% gravity-weighted circulation ladder deforms the heptagon lattice by</w:t>
      </w:r>
      <w:r>
        <w:t xml:space="preserve"> </w:t>
      </w:r>
      <m:oMath>
        <m:r>
          <m:t>0.298</m:t>
        </m:r>
      </m:oMath>
      <w:r>
        <w:t xml:space="preserve"> </w:t>
      </w:r>
      <w:r>
        <w:t xml:space="preserve">within one rotation, while the equal-circulation ring stays rigid to</w:t>
      </w:r>
      <w:r>
        <w:t xml:space="preserve"> </w:t>
      </w:r>
      <m:oMath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This is a recorded diagnostic lemma: the statement binds the committed NASA register (a static sum) and the Kirchhoff flow (a dynamic drift) to the mass-blind figure. The protocol records both registers verbatim — the line sums per line and the two radius-drift records — with no pass/fail role: the deficit is the bench’s honest headline, not a failure. The mean-motion ladder (684.1 from Mercury to Neptune) against the chord ladder (2.247) is recorded in the same block.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protocol-binding"/>
    <w:p>
      <w:pPr>
        <w:pStyle w:val="Heading2"/>
      </w:pPr>
      <w:r>
        <w:t xml:space="preserve">Protocol binding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registers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6.71</m:t>
              </m:r>
            </m:oMath>
            <w:r>
              <w:t xml:space="preserve"> </w:t>
            </w:r>
            <w:r>
              <w:t xml:space="preserve">dex /</w:t>
            </w:r>
            <w:r>
              <w:t xml:space="preserve"> </w:t>
            </w:r>
            <m:oMath>
              <m:r>
                <m:t>0.298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9.8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(default preset)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re-derives every preset-independent register</w:t>
            </w:r>
          </w:p>
        </w:tc>
      </w:tr>
    </w:tbl>
    <w:bookmarkEnd w:id="22"/>
    <w:bookmarkStart w:id="2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the parent framework: Theorem 3.1 and the three-vortex anchor;</w:t>
      </w:r>
    </w:p>
    <w:p>
      <w:pPr>
        <w:pStyle w:val="Compact"/>
        <w:numPr>
          <w:ilvl w:val="0"/>
          <w:numId w:val="1001"/>
        </w:numPr>
      </w:pPr>
      <w:r>
        <w:t xml:space="preserve">the sibling bench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the W2/W4 registers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the same heptagon, cross-pinned bit-for-bit;</w:t>
      </w:r>
    </w:p>
    <w:p>
      <w:pPr>
        <w:pStyle w:val="Compact"/>
        <w:numPr>
          <w:ilvl w:val="0"/>
          <w:numId w:val="1001"/>
        </w:numPr>
      </w:pPr>
      <w:r>
        <w:t xml:space="preserve">the big monograph: Sections 3 (Theorem A), 6 (Theorem C), 7 (Theorem B), 4 (Lemma D), 8 (Lemma E);</w:t>
      </w:r>
    </w:p>
    <w:p>
      <w:pPr>
        <w:pStyle w:val="Compact"/>
        <w:numPr>
          <w:ilvl w:val="0"/>
          <w:numId w:val="1001"/>
        </w:numPr>
      </w:pPr>
      <w:r>
        <w:t xml:space="preserve">the formalization queue: roadmap item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