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083d6091bfde93278a5a696cba63ab3c22ddc3b"/>
    <w:p>
      <w:pPr>
        <w:pStyle w:val="Heading1"/>
      </w:pPr>
      <w:r>
        <w:t xml:space="preserve">PLANETVORTEX — Лемма E — дефицит масс-лестницы</w:t>
      </w:r>
    </w:p>
    <w:p>
      <w:pPr>
        <w:pStyle w:val="FirstParagraph"/>
      </w:pPr>
      <w:r>
        <w:rPr>
          <w:i/>
          <w:iCs/>
        </w:rPr>
        <w:t xml:space="preserve">Теоремное издание планетарного гравитационно-геометрического стенда — мини-репозиторий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фреймворка TRIVORTEX, версия 1.0.0. Этот досье связывает одно утверждение с его зарегистрированным протоколом; полная наука живёт в большой монографии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утверждение"/>
    <w:p>
      <w:pPr>
        <w:pStyle w:val="Heading2"/>
      </w:pPr>
      <w:r>
        <w:t xml:space="preserve">Утверждение</w:t>
      </w:r>
    </w:p>
    <w:p>
      <w:pPr>
        <w:pStyle w:val="FirstParagraph"/>
      </w:pPr>
      <w:r>
        <w:t xml:space="preserve">Лестница гравитаций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t xml:space="preserve">, несомая семью станциями, простирается от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(Меркурий) до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(Юпитер). Суммированная по семи прямым Фано, она лежит от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008</m:t>
        </m:r>
      </m:oMath>
      <w:r>
        <w:t xml:space="preserve"> </w:t>
      </w:r>
      <w:r>
        <w:t xml:space="preserve">(Меркурий+Марс+Нептун) до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715</m:t>
        </m:r>
      </m:oMath>
      <w:r>
        <w:t xml:space="preserve"> </w:t>
      </w:r>
      <w:r>
        <w:t xml:space="preserve">(Юпитер+Сатурн+Нептун) — разброс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71</m:t>
        </m:r>
      </m:oMath>
      <w:r>
        <w:t xml:space="preserve"> </w:t>
      </w:r>
      <w:r>
        <w:t xml:space="preserve">dex. Динамически мягкая 10-процентная гравитационно-взвешенная лестница циркуляций деформирует семиугольную решётку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298</m:t>
        </m:r>
      </m:oMath>
      <w:r>
        <w:t xml:space="preserve"> </w:t>
      </w:r>
      <w:r>
        <w:t xml:space="preserve">за одно вращение, тогда как равноциркуляционное кольцо остаётся жёстким до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w:r>
        <w:t xml:space="preserve">Это лемма записанного диагностикa: утверждение связывает коммит-регистр NASA (статическая сумма) и кирхгофовский поток (динамический дрейф) со слепой к массам фигурой. Протокол записывает оба регистра дословно — суммы по каждой прямой и две записи дрейфа радиусов — без роли pass/fail: дефицит — честный заголовок стенда, а не провал. Лестница средних движений (684,1 от Меркурия до Нептуна) против хордовой лестницы (2,247) записана в том же блоке.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протокольная-привязка"/>
    <w:p>
      <w:pPr>
        <w:pStyle w:val="Heading2"/>
      </w:pPr>
      <w:r>
        <w:t xml:space="preserve">Протокольная привязка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записанные регистры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6.71</m:t>
              </m:r>
            </m:oMath>
            <w:r>
              <w:t xml:space="preserve"> </w:t>
            </w:r>
            <w:r>
              <w:t xml:space="preserve">dex /</w:t>
            </w:r>
            <w:r>
              <w:t xml:space="preserve"> </w:t>
            </w:r>
            <m:oMath>
              <m:r>
                <m:t>0.298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9.8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протокола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(пресет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тестовый гвард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перевыводит каждый регистр, независимый от пресета</w:t>
            </w:r>
          </w:p>
        </w:tc>
      </w:tr>
    </w:tbl>
    <w:bookmarkEnd w:id="22"/>
    <w:bookmarkStart w:id="23" w:name="перекрёстные-ссылки"/>
    <w:p>
      <w:pPr>
        <w:pStyle w:val="Heading2"/>
      </w:pPr>
      <w:r>
        <w:t xml:space="preserve">Перекрёстные ссылки</w:t>
      </w:r>
    </w:p>
    <w:p>
      <w:pPr>
        <w:pStyle w:val="Compact"/>
        <w:numPr>
          <w:ilvl w:val="0"/>
          <w:numId w:val="1001"/>
        </w:numPr>
      </w:pPr>
      <w:r>
        <w:t xml:space="preserve">родительский фреймворк: теорема 3.1 и трёхвихревой якорь;</w:t>
      </w:r>
    </w:p>
    <w:p>
      <w:pPr>
        <w:pStyle w:val="Compact"/>
        <w:numPr>
          <w:ilvl w:val="0"/>
          <w:numId w:val="1001"/>
        </w:numPr>
      </w:pPr>
      <w:r>
        <w:t xml:space="preserve">соседний стенд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регистры W2/W4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тот же семиугольник, запинненный бит-в-бит;</w:t>
      </w:r>
    </w:p>
    <w:p>
      <w:pPr>
        <w:pStyle w:val="Compact"/>
        <w:numPr>
          <w:ilvl w:val="0"/>
          <w:numId w:val="1001"/>
        </w:numPr>
      </w:pPr>
      <w:r>
        <w:t xml:space="preserve">большая монография: разделы 3 (теорема A), 6 (теорема C), 7 (теорема B), 4 (лемма D), 8 (лемма E);</w:t>
      </w:r>
    </w:p>
    <w:p>
      <w:pPr>
        <w:pStyle w:val="Compact"/>
        <w:numPr>
          <w:ilvl w:val="0"/>
          <w:numId w:val="1001"/>
        </w:numPr>
      </w:pPr>
      <w:r>
        <w:t xml:space="preserve">очередь формализации: пункт роадмапа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