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28d31961fdfd246b9354ddafe952612c06ee3bf7.png" ContentType="image/png"/>
  <Override PartName="/word/media/2b85bc4b1408f5e2aa737676acc6aa8656b44297.png" ContentType="image/png"/>
  <Override PartName="/word/media/3dc1c33ee3d779837e27230cc7e68c2552334f51.png" ContentType="image/png"/>
  <Override PartName="/word/media/476fddea757010a7b33ff7347c1128914bf3d276.png" ContentType="image/png"/>
  <Override PartName="/word/media/4c4da482949e5f9b9c4e4e56d065d92a662de5e3.png" ContentType="image/png"/>
  <Override PartName="/word/media/5803877a49d538bb985141d5e3f3bf1790155c78.png" ContentType="image/png"/>
  <Override PartName="/word/media/59c9f20b8891ff9c40d5d68936cb2ba731888ffe.png" ContentType="image/png"/>
  <Override PartName="/word/media/5b32eee4aa2a30a76d747075e03e0c1c64ddb13b.png" ContentType="image/png"/>
  <Override PartName="/word/media/83b08771b5ad852ae4b5a3b83118ab515a2a6bab.png" ContentType="image/png"/>
  <Override PartName="/word/media/8a92797b479e6dcf99fbc982adf5e7e822fd6826.png" ContentType="image/png"/>
  <Override PartName="/word/media/a13db7bdde0aac5ff23be75cd640601b9777dd0f.png" ContentType="image/png"/>
  <Override PartName="/word/media/b3e1463b82bab1b66cd9555da8af4f352f7ce2ec.png" ContentType="image/png"/>
  <Override PartName="/word/media/fac087ea19cccce365c68d94a3ae73adbc4dc09e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Lemma</w:t>
      </w:r>
      <w:r>
        <w:t xml:space="preserve"> </w:t>
      </w:r>
      <w:r>
        <w:t xml:space="preserve">G</w:t>
      </w:r>
      <w:r>
        <w:t xml:space="preserve"> </w:t>
      </w:r>
      <w:r>
        <w:t xml:space="preserve">—</w:t>
      </w:r>
      <w:r>
        <w:t xml:space="preserve"> </w:t>
      </w:r>
      <w:r>
        <w:t xml:space="preserve">the</w:t>
      </w:r>
      <w:r>
        <w:t xml:space="preserve"> </w:t>
      </w:r>
      <w:r>
        <w:t xml:space="preserve">arc</w:t>
      </w:r>
      <w:r>
        <w:t xml:space="preserve"> </w:t>
      </w:r>
      <w:r>
        <w:t xml:space="preserve">register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spatial</w:t>
      </w:r>
      <w:r>
        <w:t xml:space="preserve"> </w:t>
      </w:r>
      <w:r>
        <w:t xml:space="preserve">tilt</w:t>
      </w:r>
    </w:p>
    <w:p>
      <w:pPr>
        <w:pStyle w:val="Subtitle"/>
      </w:pPr>
      <w:r>
        <w:t xml:space="preserve">PLANETVORTEX</w:t>
      </w:r>
      <w:r>
        <w:t xml:space="preserve"> </w:t>
      </w:r>
      <w:r>
        <w:t xml:space="preserve">—</w:t>
      </w:r>
      <w:r>
        <w:t xml:space="preserve"> </w:t>
      </w:r>
      <w:r>
        <w:t xml:space="preserve">the</w:t>
      </w:r>
      <w:r>
        <w:t xml:space="preserve"> </w:t>
      </w:r>
      <w:r>
        <w:t xml:space="preserve">point</w:t>
      </w:r>
      <w:r>
        <w:t xml:space="preserve"> </w:t>
      </w:r>
      <w:r>
        <w:t xml:space="preserve">monograph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statement"/>
    <w:p>
      <w:pPr>
        <w:pStyle w:val="Heading2"/>
      </w:pPr>
      <w:r>
        <w:t xml:space="preserve">Statement</w:t>
      </w:r>
    </w:p>
    <w:p>
      <w:pPr>
        <w:pStyle w:val="FirstParagraph"/>
      </w:pPr>
      <w:r>
        <w:t xml:space="preserve">Let</w:t>
      </w:r>
      <w:r>
        <w:t xml:space="preserve"> </w:t>
      </w:r>
      <m:oMath>
        <m:sSub>
          <m:e>
            <m:r>
              <m:t>i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J2000 inclination of the body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(the committed JPL register) and</w:t>
      </w:r>
      <w:r>
        <w:t xml:space="preserve"> </w:t>
      </w:r>
      <m:oMath>
        <m:acc>
          <m:accPr>
            <m:chr m:val="‾"/>
          </m:accPr>
          <m:e>
            <m:r>
              <m:t>R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AU the register radius. Then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R</m:t>
            </m:r>
          </m:e>
        </m:acc>
        <m:r>
          <m:t> </m:t>
        </m:r>
        <m:sSub>
          <m:e>
            <m:r>
              <m:t>i</m:t>
            </m:r>
          </m:e>
          <m:sub>
            <m:r>
              <m:t>i</m:t>
            </m:r>
          </m:sub>
        </m:sSub>
        <m:r>
          <m:t> </m:t>
        </m:r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r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d</m:t>
            </m:r>
          </m:e>
        </m:d>
      </m:oMath>
      <w:r>
        <w:t xml:space="preserve"> </w:t>
      </w:r>
      <w:r>
        <w:t xml:space="preserve">is an exact, monotone, dimension-free measure of the spatial tilt, and the tilt operator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z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Ω</m:t>
                </m:r>
              </m:e>
              <m:sub>
                <m:r>
                  <m:t>i</m:t>
                </m:r>
              </m:sub>
            </m:sSub>
          </m:e>
        </m:d>
        <m:sSub>
          <m:e>
            <m:r>
              <m:t>R</m:t>
            </m:r>
          </m:e>
          <m:sub>
            <m:r>
              <m:t>x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i</m:t>
                </m:r>
              </m:e>
              <m:sub>
                <m:r>
                  <m:t>i</m:t>
                </m:r>
              </m:sub>
            </m:sSub>
          </m:e>
        </m:d>
        <m:r>
          <m:rPr>
            <m:sty m:val="p"/>
          </m:rPr>
          <m:t>∈</m:t>
        </m:r>
        <m:r>
          <m:t>S</m:t>
        </m:r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</m:e>
        </m:d>
      </m:oMath>
      <w:r>
        <w:t xml:space="preserve"> </w:t>
      </w:r>
      <w:r>
        <w:t xml:space="preserve">sends the ecliptic normal to the orbit normal</w:t>
      </w:r>
      <w: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sin</m:t>
            </m:r>
            <m:sSub>
              <m:e>
                <m:r>
                  <m:t>i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sin</m:t>
            </m:r>
            <m:sSub>
              <m:e>
                <m:r>
                  <m:t>Ω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sSub>
              <m:e>
                <m:r>
                  <m:t>i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cos</m:t>
            </m:r>
            <m:sSub>
              <m:e>
                <m:r>
                  <m:t>Ω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cos</m:t>
            </m:r>
            <m:sSub>
              <m:e>
                <m:r>
                  <m:t>i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 </w:t>
      </w:r>
      <w:r>
        <w:t xml:space="preserve">exactly.</w:t>
      </w:r>
    </w:p>
    <w:bookmarkEnd w:id="20"/>
    <w:bookmarkStart w:id="21" w:name="proof"/>
    <w:p>
      <w:pPr>
        <w:pStyle w:val="Heading2"/>
      </w:pPr>
      <w:r>
        <w:t xml:space="preserve">Proof</w:t>
      </w:r>
    </w:p>
    <w:p>
      <w:pPr>
        <w:pStyle w:val="FirstParagraph"/>
      </w:pP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product of rotations, hence lies in</w:t>
      </w:r>
      <w:r>
        <w:t xml:space="preserve"> </w:t>
      </w:r>
      <m:oMath>
        <m:r>
          <m:t>S</m:t>
        </m:r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</m:e>
        </m:d>
      </m:oMath>
      <w:r>
        <w:t xml:space="preserve"> </w:t>
      </w:r>
      <w:r>
        <w:t xml:space="preserve">— orthogonality and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closed under multiplication. The image of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R</m:t>
            </m:r>
          </m:e>
          <m:sub>
            <m:r>
              <m:t>z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Ω</m:t>
            </m:r>
          </m:e>
        </m:d>
        <m:sSub>
          <m:e>
            <m:r>
              <m:t>R</m:t>
            </m:r>
          </m:e>
          <m:sub>
            <m:r>
              <m:t>x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i</m:t>
            </m:r>
          </m:e>
        </m:d>
      </m:oMath>
      <w:r>
        <w:t xml:space="preserve">:</w:t>
      </w:r>
      <w:r>
        <w:t xml:space="preserve"> </w:t>
      </w:r>
      <m:oMath>
        <m:sSub>
          <m:e>
            <m:r>
              <m:t>R</m:t>
            </m:r>
          </m:e>
          <m:sub>
            <m:r>
              <m:t>x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i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r>
              <m:t>i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cos</m:t>
            </m:r>
            <m:r>
              <m:t>i</m:t>
            </m:r>
          </m:e>
        </m:d>
      </m:oMath>
      <w:r>
        <w:t xml:space="preserve">;</w:t>
      </w:r>
      <w:r>
        <w:t xml:space="preserve"> </w:t>
      </w:r>
      <m:oMath>
        <m:sSub>
          <m:e>
            <m:r>
              <m:t>R</m:t>
            </m:r>
          </m:e>
          <m:sub>
            <m:r>
              <m:t>z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Ω</m:t>
            </m:r>
          </m:e>
        </m:d>
      </m:oMath>
      <w:r>
        <w:t xml:space="preserve"> </w:t>
      </w:r>
      <w:r>
        <w:t xml:space="preserve">rotates the</w:t>
      </w:r>
      <w:r>
        <w:t xml:space="preserve"> </w:t>
      </w:r>
      <m:oMath>
        <m:r>
          <m:t>x</m:t>
        </m:r>
        <m:r>
          <m:t>y</m:t>
        </m:r>
      </m:oMath>
      <w:r>
        <w:t xml:space="preserve">-components: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sin</m:t>
            </m:r>
            <m:r>
              <m:t>i</m:t>
            </m:r>
            <m:r>
              <m:rPr>
                <m:sty m:val="p"/>
              </m:rPr>
              <m:t>sin</m:t>
            </m:r>
            <m:r>
              <m:t>Ω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r>
              <m:t>i</m:t>
            </m:r>
            <m:r>
              <m:rPr>
                <m:sty m:val="p"/>
              </m:rPr>
              <m:t>cos</m:t>
            </m:r>
            <m:r>
              <m:t>Ω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cos</m:t>
            </m:r>
            <m:r>
              <m:t>i</m:t>
            </m:r>
          </m:e>
        </m:d>
      </m:oMath>
      <w:r>
        <w:t xml:space="preserve">.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R</m:t>
            </m:r>
          </m:e>
        </m:acc>
        <m:r>
          <m:t>i</m:t>
        </m:r>
      </m:oMath>
      <w:r>
        <w:t xml:space="preserve"> </w:t>
      </w:r>
      <w:r>
        <w:t xml:space="preserve">is linear in the angle with a fixed positive constant — monotone by inspection: it is the arc length cut by the tilt angle on the register circle.</w:t>
      </w:r>
      <w:r>
        <w:t xml:space="preserve"> </w:t>
      </w:r>
      <m:oMath>
        <m:r>
          <m:rPr>
            <m:sty m:val="p"/>
          </m:rPr>
          <m:t>▫</m:t>
        </m:r>
      </m:oMath>
    </w:p>
    <w:bookmarkEnd w:id="21"/>
    <w:bookmarkStart w:id="22" w:name="computational-certificate"/>
    <w:p>
      <w:pPr>
        <w:pStyle w:val="Heading2"/>
      </w:pPr>
      <w:r>
        <w:t xml:space="preserve">Computational certificate</w:t>
      </w:r>
    </w:p>
    <w:p>
      <w:pPr>
        <w:pStyle w:val="FirstParagraph"/>
      </w:pPr>
      <w:r>
        <w:t xml:space="preserve">Stage V1: the orthogonality at 2.2e−16, the normal recovery at 0.0, the monotone arc ladder, and the 3D J2000 run (energy 2.1e−13, the vector L at 4.7e−15, Kepler III at 1.0e−4 against the secular mean elements).</w:t>
      </w:r>
    </w:p>
    <w:bookmarkEnd w:id="22"/>
    <w:sectPr>
      <w:footerReference r:id="rId9" w:type="default"/>
      <w:pgSz w:h="16838" w:orient="portrait" w:w="11906"/>
      <w:pgMar w:bottom="1440" w:footer="992" w:gutter="0" w:header="850" w:left="1701" w:right="1417" w:top="144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2E3" w:sz="2" w:space="4"/>
      </w:pBdr>
      <w:jc w:val="center"/>
    </w:pPr>
    <w:r>
      <w:rPr>
        <w:rFonts w:ascii="Liberation Sans" w:hAnsi="Liberation Sans"/>
        <w:color w:val="5A6472"/>
        <w:sz w:val="18"/>
        <w:szCs w:val="18"/>
      </w:rPr>
      <w:t xml:space="preserve">TRIVORTEX Research Program · polyvortex v1.1.0 · </w:t>
    </w:r>
    <w:r>
      <w:rPr>
        <w:rFonts w:ascii="Liberation Sans" w:hAnsi="Liberation Sans"/>
        <w:color w:val="5A6472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Liberation Sans" w:hAnsi="Liberation Sans"/>
        <w:color w:val="5A6472"/>
        <w:sz w:val="18"/>
        <w:szCs w:val="18"/>
      </w:rPr>
      <w:t xml:space="preserve"> / </w:t>
    </w:r>
    <w:r>
      <w:rPr>
        <w:rFonts w:ascii="Liberation Sans" w:hAnsi="Liberation Sans"/>
        <w:color w:val="5A6472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2E3" w:sz="2" w:space="4"/>
      </w:pBdr>
      <w:jc w:val="center"/>
    </w:pPr>
    <w:r>
      <w:rPr>
        <w:rFonts w:ascii="Liberation Sans" w:hAnsi="Liberation Sans"/>
        <w:color w:val="5A6472"/>
        <w:sz w:val="18"/>
        <w:szCs w:val="18"/>
      </w:rPr>
      <w:t xml:space="preserve">TRIVORTEX Research Program · polyvortex v1.1.0 · </w:t>
    </w:r>
    <w:r>
      <w:rPr>
        <w:rFonts w:ascii="Liberation Sans" w:hAnsi="Liberation Sans"/>
        <w:color w:val="5A6472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  <w:r>
      <w:rPr>
        <w:rFonts w:ascii="Liberation Sans" w:hAnsi="Liberation Sans"/>
        <w:color w:val="5A6472"/>
        <w:sz w:val="18"/>
        <w:szCs w:val="18"/>
      </w:rPr>
      <w:t xml:space="preserve"> / </w:t>
    </w:r>
    <w:r>
      <w:rPr>
        <w:rFonts w:ascii="Liberation Sans" w:hAnsi="Liberation Sans"/>
        <w:color w:val="5A6472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:ilvl="0" w:tentative="1">
      <w:start w:val="1"/>
      <w:numFmt w:val="bullet"/>
      <w:lvlText w:val="●"/>
      <w:lvlJc w:val="left"/>
      <w:pPr>
        <w:ind w:hanging="360" w:left="720"/>
      </w:pPr>
    </w:lvl>
    <w:lvl w:ilvl="1" w:tentative="1">
      <w:start w:val="1"/>
      <w:numFmt w:val="bullet"/>
      <w:lvlText w:val="○"/>
      <w:lvlJc w:val="left"/>
      <w:pPr>
        <w:ind w:hanging="360" w:left="1440"/>
      </w:pPr>
    </w:lvl>
    <w:lvl w:ilvl="2" w:tentative="1">
      <w:start w:val="1"/>
      <w:numFmt w:val="bullet"/>
      <w:lvlText w:val="■"/>
      <w:lvlJc w:val="left"/>
      <w:pPr>
        <w:ind w:hanging="360" w:left="2160"/>
      </w:pPr>
    </w:lvl>
    <w:lvl w:ilvl="3" w:tentative="1">
      <w:start w:val="1"/>
      <w:numFmt w:val="bullet"/>
      <w:lvlText w:val="●"/>
      <w:lvlJc w:val="left"/>
      <w:pPr>
        <w:ind w:hanging="360" w:left="2880"/>
      </w:pPr>
    </w:lvl>
    <w:lvl w:ilvl="4" w:tentative="1">
      <w:start w:val="1"/>
      <w:numFmt w:val="bullet"/>
      <w:lvlText w:val="○"/>
      <w:lvlJc w:val="left"/>
      <w:pPr>
        <w:ind w:hanging="360" w:left="3600"/>
      </w:pPr>
    </w:lvl>
    <w:lvl w:ilvl="5" w:tentative="1">
      <w:start w:val="1"/>
      <w:numFmt w:val="bullet"/>
      <w:lvlText w:val="■"/>
      <w:lvlJc w:val="left"/>
      <w:pPr>
        <w:ind w:hanging="360" w:left="4320"/>
      </w:pPr>
    </w:lvl>
    <w:lvl w:ilvl="6" w:tentative="1">
      <w:start w:val="1"/>
      <w:numFmt w:val="bullet"/>
      <w:lvlText w:val="●"/>
      <w:lvlJc w:val="left"/>
      <w:pPr>
        <w:ind w:hanging="360" w:left="5040"/>
      </w:pPr>
    </w:lvl>
    <w:lvl w:ilvl="7" w:tentative="1">
      <w:start w:val="1"/>
      <w:numFmt w:val="bullet"/>
      <w:lvlText w:val="●"/>
      <w:lvlJc w:val="left"/>
      <w:pPr>
        <w:ind w:hanging="360" w:left="5760"/>
      </w:pPr>
    </w:lvl>
    <w:lvl w:ilvl="8" w:tentative="1">
      <w:start w:val="1"/>
      <w:numFmt w:val="bullet"/>
      <w:lvlText w:val="●"/>
      <w:lvlJc w:val="left"/>
      <w:pPr>
        <w:ind w:hanging="360" w:left="6480"/>
      </w:pPr>
    </w:lvl>
  </w:abstractNum>
  <w:abstractNum w15:restartNumberingAfterBreak="0" w:abstractNumId="2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15:restartNumberingAfterBreak="0" w:abstractNumId="3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15:restartNumberingAfterBreak="0" w:abstractNumId="4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15:restartNumberingAfterBreak="0" w:abstractNumId="5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15:restartNumberingAfterBreak="0" w:abstractNumId="6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15:restartNumberingAfterBreak="0" w:abstractNumId="7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15:restartNumberingAfterBreak="0" w:abstractNumId="8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15:restartNumberingAfterBreak="0" w:abstractNumId="9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15:restartNumberingAfterBreak="0" w:abstractNumId="10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15:restartNumberingAfterBreak="0" w:abstractNumId="11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15:restartNumberingAfterBreak="0" w:abstractNumId="12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15:restartNumberingAfterBreak="0" w:abstractNumId="13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20"/>
  <w:evenAndOddHeaders w:val="false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footnotePr>
    <w:footnote w:id="-1"/>
    <w:footnote w:id="0"/>
  </w:footnotePr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hAnsi="Liberation Serif"/>
        <w:color w:val="1A2433"/>
        <w:sz w:val="24"/>
        <w:szCs w:val="24"/>
      </w:rPr>
    </w:rPrDefault>
    <w:pPrDefault>
      <w:pPr>
        <w:spacing w:line="312"/>
      </w:pPr>
    </w:pPrDefault>
  </w:docDefaults>
  <w:style w:default="1" w:styleId="Normal" w:type="paragraph">
    <w:name w:val="Normal"/>
    <w:qFormat/>
  </w:style>
  <w:style w:default="true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pPr>
      <w:spacing w:after="160" w:before="400" w:line="380" w:lineRule="atLeast"/>
      <w:outlineLvl w:val="0"/>
    </w:pPr>
    <w:rPr>
      <w:rFonts w:ascii="Liberation Sans" w:hAnsi="Liberation Sans"/>
      <w:b/>
      <w:bCs/>
      <w:color w:val="4F81BD"/>
      <w:sz w:val="32"/>
      <w:szCs w:val="32"/>
    </w:rPr>
  </w:style>
  <w:style w:styleId="Heading2" w:type="paragraph">
    <w:name w:val="Heading 2"/>
    <w:basedOn w:val="Normal"/>
    <w:next w:val="Normal"/>
    <w:qFormat/>
    <w:pPr>
      <w:spacing w:after="140" w:before="300" w:line="340" w:lineRule="atLeast"/>
      <w:outlineLvl w:val="1"/>
    </w:pPr>
    <w:rPr>
      <w:rFonts w:ascii="Liberation Sans" w:hAnsi="Liberation Sans"/>
      <w:b/>
      <w:bCs/>
      <w:color w:val="4F81BD"/>
      <w:sz w:val="28"/>
      <w:szCs w:val="28"/>
    </w:rPr>
  </w:style>
  <w:style w:styleId="Heading3" w:type="paragraph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styleId="Heading4" w:type="paragraph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styleId="Heading5" w:type="paragraph">
    <w:pPr>
      <w:outlineLvl w:val="4"/>
    </w:pPr>
    <w:name w:val="Heading 5"/>
    <w:basedOn w:val="Normal"/>
    <w:next w:val="Normal"/>
    <w:qFormat/>
    <w:rPr>
      <w:color w:val="2E74B5"/>
    </w:rPr>
  </w:style>
  <w:style w:styleId="Heading6" w:type="paragraph">
    <w:pPr>
      <w:outlineLvl w:val="5"/>
    </w:pPr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EndnoteTextChar" w:type="characte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styleId="9" w:type="paragraph">
    <w:name w:val="toc 1"/>
    <w:basedOn w:val="Normal"/>
    <w:uiPriority w:val="39"/>
    <w:pPr>
      <w:tabs>
        <w:tab w:leader="dot" w:pos="9026" w:val="right"/>
      </w:tabs>
      <w:spacing w:after="60" w:before="120"/>
    </w:pPr>
    <w:rPr>
      <w:b/>
      <w:bCs/>
    </w:rPr>
  </w:style>
  <w:style xmlns:w="http://schemas.openxmlformats.org/wordprocessingml/2006/main" w:styleId="11" w:type="paragraph">
    <w:name w:val="toc 2"/>
    <w:basedOn w:val="Normal"/>
    <w:uiPriority w:val="39"/>
    <w:pPr>
      <w:tabs>
        <w:tab w:leader="dot" w:pos="9026" w:val="right"/>
      </w:tabs>
      <w:ind w:left="360"/>
      <w:spacing w:after="40" w:before="60"/>
    </w:pPr>
  </w:style>
  <w:style xmlns:w="http://schemas.openxmlformats.org/wordprocessingml/2006/main" w:styleId="12" w:type="paragraph">
    <w:name w:val="toc 3"/>
    <w:basedOn w:val="Normal"/>
    <w:uiPriority w:val="39"/>
    <w:pPr>
      <w:tabs>
        <w:tab w:leader="dot" w:pos="9026" w:val="right"/>
      </w:tabs>
      <w:ind w:left="720"/>
      <w:spacing w:after="20" w:before="40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Relationship Id="rId10" Target="footer2.xml" Type="http://schemas.openxmlformats.org/officeDocument/2006/relationships/footer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Lemma G — the arc register of the spatial tilt</dc:title>
  <dc:creator/>
  <cp:keywords/>
  <dcterms:created xsi:type="dcterms:W3CDTF">2026-10-09T07:38:45Z</dcterms:created>
  <dcterms:modified xsi:type="dcterms:W3CDTF">2026-10-09T07:38:45Z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PLANETVORTEX — the point monograph</vt:lpwstr>
  </property>
</Properties>
</file>