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Лемма</w:t>
      </w:r>
      <w:r>
        <w:t xml:space="preserve"> </w:t>
      </w:r>
      <w:r>
        <w:t xml:space="preserve">G</w:t>
      </w:r>
      <w:r>
        <w:t xml:space="preserve"> </w:t>
      </w:r>
      <w:r>
        <w:t xml:space="preserve">—</w:t>
      </w:r>
      <w:r>
        <w:t xml:space="preserve"> </w:t>
      </w:r>
      <w:r>
        <w:t xml:space="preserve">дуговой</w:t>
      </w:r>
      <w:r>
        <w:t xml:space="preserve"> </w:t>
      </w:r>
      <w:r>
        <w:t xml:space="preserve">регистр</w:t>
      </w:r>
      <w:r>
        <w:t xml:space="preserve"> </w:t>
      </w:r>
      <w:r>
        <w:t xml:space="preserve">пространственного</w:t>
      </w:r>
      <w:r>
        <w:t xml:space="preserve"> </w:t>
      </w:r>
      <w:r>
        <w:t xml:space="preserve">наклона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формулировка"/>
    <w:p>
      <w:pPr>
        <w:pStyle w:val="Heading2"/>
      </w:pPr>
      <w:r>
        <w:t xml:space="preserve">Формулировка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наклонение J2000 тела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(зафиксированный реестр JPL) и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а.е. — радиус регистра. Тогда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[рад] — точная, монотонная, безразмерная мера пространственного наклона, а оператор наклона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переводит нормаль эклиптики в нормаль орбиты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sin</m:t>
            </m:r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cos</m:t>
            </m:r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точно.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произведение вращений, значит лежит в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: ортогональность и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замкнуты относительно умножения. Образ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i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вращает</w:t>
      </w:r>
      <w:r>
        <w:t xml:space="preserve"> </w:t>
      </w:r>
      <m:oMath>
        <m:r>
          <m:t>x</m:t>
        </m:r>
        <m:r>
          <m:t>y</m:t>
        </m:r>
      </m:oMath>
      <w:r>
        <w:t xml:space="preserve">-компоненты: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sin</m:t>
            </m:r>
            <m:r>
              <m:t>Ω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cos</m:t>
            </m:r>
            <m:r>
              <m:t>Ω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i</m:t>
            </m:r>
          </m:e>
        </m:d>
      </m:oMath>
      <w:r>
        <w:t xml:space="preserve">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i</m:t>
        </m:r>
      </m:oMath>
      <w:r>
        <w:t xml:space="preserve"> </w:t>
      </w:r>
      <w:r>
        <w:t xml:space="preserve">линейно по углу с фиксированной положительной константой — монотонность очевидна: это длина дуги, вырезаемой углом наклона на окружности регистра.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вычислительный-сертификат"/>
    <w:p>
      <w:pPr>
        <w:pStyle w:val="Heading2"/>
      </w:pPr>
      <w:r>
        <w:t xml:space="preserve">Вычислительный сертификат</w:t>
      </w:r>
    </w:p>
    <w:p>
      <w:pPr>
        <w:pStyle w:val="FirstParagraph"/>
      </w:pPr>
      <w:r>
        <w:t xml:space="preserve">Стадия V1: ортогональность 2,2·10⁻¹⁶, восстановление нормали 0,0, монотонная дуговая лестница и 3D-прогон J2000 (энергия 2,1·10⁻¹³, вектор L 4,7·10⁻¹⁵, Кеплер III 1,0·10⁻⁴ против секулярных средних элементов).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Лемма G — дуговой регистр пространственного наклона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