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PLANETVORTEX</w:t>
      </w:r>
    </w:p>
    <w:bookmarkStart w:id="24" w:name="X1ae8b761f97d33f0e653d112cd5f93473de8337"/>
    <w:p>
      <w:pPr>
        <w:pStyle w:val="Heading1"/>
      </w:pPr>
      <w:r>
        <w:t xml:space="preserve">PLANETVORTEX — Theorem B — the seven equal cells</w:t>
      </w:r>
    </w:p>
    <w:p>
      <w:pPr>
        <w:pStyle w:val="FirstParagraph"/>
      </w:pPr>
      <w:r>
        <w:rPr>
          <w:i/>
          <w:iCs/>
        </w:rPr>
        <w:t xml:space="preserve">The theorem edition of the planetary gravity-geometry bench — mini-repository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planetvortex/</w:t>
      </w:r>
      <w:r>
        <w:rPr>
          <w:i/>
          <w:iCs/>
        </w:rPr>
        <w:t xml:space="preserve"> </w:t>
      </w:r>
      <w:r>
        <w:rPr>
          <w:i/>
          <w:iCs/>
        </w:rPr>
        <w:t xml:space="preserve">of the TRIVORTEX framework, version 1.0.0. This dossier binds one statement to its registered protocol; the full science lives in the big monograph (</w:t>
      </w:r>
      <w:r>
        <w:rPr>
          <w:rStyle w:val="VerbatimChar"/>
          <w:i/>
          <w:iCs/>
        </w:rPr>
        <w:t xml:space="preserve">docs/monograph/</w:t>
      </w:r>
      <w:r>
        <w:rPr>
          <w:i/>
          <w:iCs/>
        </w:rPr>
        <w:t xml:space="preserve">).</w:t>
      </w:r>
    </w:p>
    <w:bookmarkStart w:id="20" w:name="statement"/>
    <w:p>
      <w:pPr>
        <w:pStyle w:val="Heading2"/>
      </w:pPr>
      <w:r>
        <w:t xml:space="preserve">Statement</w:t>
      </w:r>
    </w:p>
    <w:p>
      <w:pPr>
        <w:pStyle w:val="FirstParagraph"/>
      </w:pPr>
      <w:r>
        <w:t xml:space="preserve">Place seven equal vortices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at the heptagon vertices. Then every Fano line-cell — a three-vortex Trivortex cell in the scalene regime — carries exactly the same Hamiltonian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t> </m:t>
            </m:r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0.154851</m:t>
        </m:r>
        <m:r>
          <m:rPr>
            <m:sty m:val="p"/>
          </m:rPr>
          <m:t>…</m:t>
        </m:r>
      </m:oMath>
      <w:r>
        <w:t xml:space="preserve">, the same angular impulse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t>Γ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same invariant impulse magnitude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r>
              <m:t>i</m:t>
            </m:r>
            <m:r>
              <m:t>Q</m:t>
            </m:r>
          </m:e>
        </m:d>
      </m:oMath>
      <w:r>
        <w:t xml:space="preserve">; the seven cells are congruent as dynamical systems, and their shape cycles are periodic with one common period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h</m:t>
            </m:r>
            <m:r>
              <m:t>a</m:t>
            </m:r>
            <m:r>
              <m:t>p</m:t>
            </m:r>
            <m:r>
              <m:t>e</m:t>
            </m:r>
          </m:sub>
        </m:sSub>
        <m:r>
          <m:rPr>
            <m:sty m:val="p"/>
          </m:rPr>
          <m:t>=</m:t>
        </m:r>
        <m:r>
          <m:t>9.3814</m:t>
        </m:r>
        <m:r>
          <m:rPr>
            <m:sty m:val="p"/>
          </m:rPr>
          <m:t>…</m:t>
        </m:r>
      </m:oMath>
      <w:r>
        <w:t xml:space="preserve">, measured with spread exactly 0.0.</w:t>
      </w:r>
    </w:p>
    <w:bookmarkEnd w:id="20"/>
    <w:bookmarkStart w:id="21" w:name="proof"/>
    <w:p>
      <w:pPr>
        <w:pStyle w:val="Heading2"/>
      </w:pPr>
      <w:r>
        <w:t xml:space="preserve">Proof</w:t>
      </w:r>
    </w:p>
    <w:p>
      <w:pPr>
        <w:pStyle w:val="FirstParagraph"/>
      </w:pPr>
      <w:r>
        <w:t xml:space="preserve">Each line is a rotation image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so the cells are congruent and the equality of invariants follows. The Hamiltonian of one cell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π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ln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by the product identity of Theorem A — the same for all seven. The moment of inertia is</w:t>
      </w:r>
      <w:r>
        <w:t xml:space="preserve"> </w:t>
      </w:r>
      <m:oMath>
        <m:r>
          <m:t>Γ</m:t>
        </m:r>
        <m:r>
          <m:rPr>
            <m:sty m:val="p"/>
          </m:rPr>
          <m:t>∑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t>Γ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: every vertex sits on the circumcircle. The shape periodicity is the classical integrability of the three-vortex problem: the shape variable moves on the closed level curve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inside the fixed-</w:t>
      </w:r>
      <m:oMath>
        <m:r>
          <m:t>I</m:t>
        </m:r>
      </m:oMath>
      <w:r>
        <w:t xml:space="preserve"> </w:t>
      </w:r>
      <w:r>
        <w:t xml:space="preserve">shape domain. The scalene cells are NOT relative equilibria — the maximal shape departure is</w:t>
      </w:r>
      <w:r>
        <w:t xml:space="preserve"> </w:t>
      </w:r>
      <m:oMath>
        <m:r>
          <m:t>0.288</m:t>
        </m:r>
      </m:oMath>
      <w:r>
        <w:t xml:space="preserve"> </w:t>
      </w:r>
      <w:r>
        <w:t xml:space="preserve">— the symmetry PSL(2,7) buys is the equality of the cycles, not rigidity.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Start w:id="22" w:name="protocol-binding"/>
    <w:p>
      <w:pPr>
        <w:pStyle w:val="Heading2"/>
      </w:pPr>
      <w:r>
        <w:t xml:space="preserve">Protocol binding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recorded registers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 </w:t>
            </w:r>
            <w:r>
              <w:t xml:space="preserve">/ spread</w:t>
            </w:r>
            <w:r>
              <w:t xml:space="preserve"> </w:t>
            </w:r>
            <m:oMath>
              <m:r>
                <m:t>0.0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results/protocols/</w:t>
            </w:r>
            <w:r>
              <w:t xml:space="preserve"> </w:t>
            </w:r>
            <w:r>
              <w:t xml:space="preserve">(default preset)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re-derives every preset-independent register</w:t>
            </w:r>
          </w:p>
        </w:tc>
      </w:tr>
    </w:tbl>
    <w:bookmarkEnd w:id="22"/>
    <w:bookmarkStart w:id="23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1"/>
        </w:numPr>
      </w:pPr>
      <w:r>
        <w:t xml:space="preserve">the parent framework: Theorem 3.1 and the three-vortex anchor;</w:t>
      </w:r>
    </w:p>
    <w:p>
      <w:pPr>
        <w:pStyle w:val="Compact"/>
        <w:numPr>
          <w:ilvl w:val="0"/>
          <w:numId w:val="1001"/>
        </w:numPr>
      </w:pPr>
      <w:r>
        <w:t xml:space="preserve">the sibling bench</w:t>
      </w:r>
      <w:r>
        <w:t xml:space="preserve"> </w:t>
      </w:r>
      <w:r>
        <w:rPr>
          <w:rStyle w:val="VerbatimChar"/>
        </w:rPr>
        <w:t xml:space="preserve">polyvortex</w:t>
      </w:r>
      <w:r>
        <w:t xml:space="preserve">: the W2/W4 registers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— the same heptagon, cross-pinned bit-for-bit;</w:t>
      </w:r>
    </w:p>
    <w:p>
      <w:pPr>
        <w:pStyle w:val="Compact"/>
        <w:numPr>
          <w:ilvl w:val="0"/>
          <w:numId w:val="1001"/>
        </w:numPr>
      </w:pPr>
      <w:r>
        <w:t xml:space="preserve">the big monograph: Sections 3 (Theorem A), 6 (Theorem C), 7 (Theorem B), 4 (Lemma D), 8 (Lemma E);</w:t>
      </w:r>
    </w:p>
    <w:p>
      <w:pPr>
        <w:pStyle w:val="Compact"/>
        <w:numPr>
          <w:ilvl w:val="0"/>
          <w:numId w:val="1001"/>
        </w:numPr>
      </w:pPr>
      <w:r>
        <w:t xml:space="preserve">the formalization queue: roadmap item V4 (Coq / Lean 4).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PLANETVORTEX</dc:title>
  <dc:creator/>
  <cp:keywords/>
  <dcterms:created xsi:type="dcterms:W3CDTF">2026-10-08T19:03:07Z</dcterms:created>
  <dcterms:modified xsi:type="dcterms:W3CDTF">2026-10-08T19:03:07Z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