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PLANETVORTEX</w:t>
      </w:r>
    </w:p>
    <w:bookmarkStart w:id="24" w:name="X7643aca38862b6264d96fa8f182400e215d9b8d"/>
    <w:p>
      <w:pPr>
        <w:pStyle w:val="Heading1"/>
      </w:pPr>
      <w:r>
        <w:t xml:space="preserve">PLANETVORTEX — Теорема C — жёсткая семиугольная решётка</w:t>
      </w:r>
    </w:p>
    <w:p>
      <w:pPr>
        <w:pStyle w:val="FirstParagraph"/>
      </w:pPr>
      <w:r>
        <w:rPr>
          <w:i/>
          <w:iCs/>
        </w:rPr>
        <w:t xml:space="preserve">Теоремное издание планетарного гравитационно-геометрического стенда — мини-репозиторий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planetvortex/</w:t>
      </w:r>
      <w:r>
        <w:rPr>
          <w:i/>
          <w:iCs/>
        </w:rPr>
        <w:t xml:space="preserve"> </w:t>
      </w:r>
      <w:r>
        <w:rPr>
          <w:i/>
          <w:iCs/>
        </w:rPr>
        <w:t xml:space="preserve">фреймворка TRIVORTEX, версия 1.0.0. Этот досье связывает одно утверждение с его зарегистрированным протоколом; полная наука живёт в большой монографии (</w:t>
      </w:r>
      <w:r>
        <w:rPr>
          <w:rStyle w:val="VerbatimChar"/>
          <w:i/>
          <w:iCs/>
        </w:rPr>
        <w:t xml:space="preserve">docs/monograph/</w:t>
      </w:r>
      <w:r>
        <w:rPr>
          <w:i/>
          <w:iCs/>
        </w:rPr>
        <w:t xml:space="preserve">).</w:t>
      </w:r>
    </w:p>
    <w:bookmarkStart w:id="20" w:name="утверждение"/>
    <w:p>
      <w:pPr>
        <w:pStyle w:val="Heading2"/>
      </w:pPr>
      <w:r>
        <w:t xml:space="preserve">Утверждение</w:t>
      </w:r>
    </w:p>
    <w:p>
      <w:pPr>
        <w:pStyle w:val="FirstParagraph"/>
      </w:pPr>
      <w:r>
        <w:t xml:space="preserve">Семивихревой правильный семиугольник (</w:t>
      </w:r>
      <m:oMath>
        <m:sSub>
          <m:e>
            <m:r>
              <m:t>Γ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Γ</m:t>
        </m:r>
      </m:oMath>
      <w:r>
        <w:t xml:space="preserve">, радиус</w:t>
      </w:r>
      <w:r>
        <w:t xml:space="preserve"> </w:t>
      </w:r>
      <m:oMath>
        <m:r>
          <m:t>R</m:t>
        </m:r>
      </m:oMath>
      <w:r>
        <w:t xml:space="preserve">) — относительное равновесие, вращающееся жёстко с</w:t>
      </w:r>
      <w:r>
        <w:t xml:space="preserve"> </w:t>
      </w:r>
      <m:oMath>
        <m:sSub>
          <m:e>
            <m:r>
              <m:t>ω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4</m:t>
            </m:r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Γ</m:t>
            </m:r>
          </m:num>
          <m:den>
            <m:r>
              <m:t>2</m:t>
            </m:r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4774648292756860</m:t>
        </m:r>
        <m:r>
          <m:rPr>
            <m:sty m:val="p"/>
          </m:rPr>
          <m:t>…</m:t>
        </m:r>
      </m:oMath>
      <w:r>
        <w:t xml:space="preserve">; его со-вращающийся спектр устойчив по Хавелоку с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t>λ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на численно-нулевом полу (классификатор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) — последний устойчивый уровень перед порогом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; а его гамильтониан в точности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  <m:r>
              <m:t>i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t> </m:t>
            </m:r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08395426662194</m:t>
        </m:r>
        <m:r>
          <m:rPr>
            <m:sty m:val="p"/>
          </m:rPr>
          <m:t>…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"/>
    <w:bookmarkStart w:id="21" w:name="доказательство"/>
    <w:p>
      <w:pPr>
        <w:pStyle w:val="Heading2"/>
      </w:pPr>
      <w:r>
        <w:t xml:space="preserve">Доказательство</w:t>
      </w:r>
    </w:p>
    <w:p>
      <w:pPr>
        <w:pStyle w:val="FirstParagraph"/>
      </w:pPr>
      <w:r>
        <w:t xml:space="preserve">Формула вращения — регистр корней из единицы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: каждый вихрь чувствует шестерых остальных через хордовую сумму, равную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Γ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Классификация устойчивости — регистр Хавелока: со-вращающиеся собственные значения</w:t>
      </w:r>
      <w:r>
        <w:t xml:space="preserve"> </w:t>
      </w:r>
      <m:oMath>
        <m:r>
          <m:t>N</m:t>
        </m:r>
      </m:oMath>
      <w:r>
        <w:t xml:space="preserve">-угольника чисто мнимые при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7</m:t>
        </m:r>
      </m:oMath>
      <w:r>
        <w:t xml:space="preserve"> </w:t>
      </w:r>
      <w:r>
        <w:t xml:space="preserve">и переходят в правую полуплоскость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(+0,4502 в скане соседа). Гамильтониан: 21 парное расстояние — семь хорд каждого класса, потому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ln</m:t>
            </m:r>
          </m:e>
        </m:nary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по теореме A, что даёт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  <m:r>
              <m:t>i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=</m:t>
        </m:r>
        <m:r>
          <m:t>7</m:t>
        </m:r>
        <m:r>
          <m:t> </m:t>
        </m:r>
        <m:sSub>
          <m:e>
            <m:r>
              <m:t>H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Start w:id="22" w:name="протокольная-привязка"/>
    <w:p>
      <w:pPr>
        <w:pStyle w:val="Heading2"/>
      </w:pPr>
      <w:r>
        <w:t xml:space="preserve">Протокольная привязка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записанные регистры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1.35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7.0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файл протокола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results/protocols/</w:t>
            </w:r>
            <w:r>
              <w:t xml:space="preserve"> </w:t>
            </w:r>
            <w:r>
              <w:t xml:space="preserve">(пресет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тестовый гвард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перевыводит каждый регистр, независимый от пресета</w:t>
            </w:r>
          </w:p>
        </w:tc>
      </w:tr>
    </w:tbl>
    <w:bookmarkEnd w:id="22"/>
    <w:bookmarkStart w:id="23" w:name="перекрёстные-ссылки"/>
    <w:p>
      <w:pPr>
        <w:pStyle w:val="Heading2"/>
      </w:pPr>
      <w:r>
        <w:t xml:space="preserve">Перекрёстные ссылки</w:t>
      </w:r>
    </w:p>
    <w:p>
      <w:pPr>
        <w:pStyle w:val="Compact"/>
        <w:numPr>
          <w:ilvl w:val="0"/>
          <w:numId w:val="1001"/>
        </w:numPr>
      </w:pPr>
      <w:r>
        <w:t xml:space="preserve">родительский фреймворк: теорема 3.1 и трёхвихревой якорь;</w:t>
      </w:r>
    </w:p>
    <w:p>
      <w:pPr>
        <w:pStyle w:val="Compact"/>
        <w:numPr>
          <w:ilvl w:val="0"/>
          <w:numId w:val="1001"/>
        </w:numPr>
      </w:pPr>
      <w:r>
        <w:t xml:space="preserve">соседний стенд</w:t>
      </w:r>
      <w:r>
        <w:t xml:space="preserve"> </w:t>
      </w:r>
      <w:r>
        <w:rPr>
          <w:rStyle w:val="VerbatimChar"/>
        </w:rPr>
        <w:t xml:space="preserve">polyvortex</w:t>
      </w:r>
      <w:r>
        <w:t xml:space="preserve">: регистры W2/W4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— тот же семиугольник, запинненный бит-в-бит;</w:t>
      </w:r>
    </w:p>
    <w:p>
      <w:pPr>
        <w:pStyle w:val="Compact"/>
        <w:numPr>
          <w:ilvl w:val="0"/>
          <w:numId w:val="1001"/>
        </w:numPr>
      </w:pPr>
      <w:r>
        <w:t xml:space="preserve">большая монография: разделы 3 (теорема A), 6 (теорема C), 7 (теорема B), 4 (лемма D), 8 (лемма E);</w:t>
      </w:r>
    </w:p>
    <w:p>
      <w:pPr>
        <w:pStyle w:val="Compact"/>
        <w:numPr>
          <w:ilvl w:val="0"/>
          <w:numId w:val="1001"/>
        </w:numPr>
      </w:pPr>
      <w:r>
        <w:t xml:space="preserve">очередь формализации: пункт роадмапа V4 (Coq / Lean 4).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PLANETVORTEX</dc:title>
  <dc:creator/>
  <cp:keywords/>
  <dcterms:created xsi:type="dcterms:W3CDTF">2026-10-08T19:03:07Z</dcterms:created>
  <dcterms:modified xsi:type="dcterms:W3CDTF">2026-10-08T19:03:07Z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