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28d31961fdfd246b9354ddafe952612c06ee3bf7.png" ContentType="image/png"/>
  <Override PartName="/word/media/2b85bc4b1408f5e2aa737676acc6aa8656b44297.png" ContentType="image/png"/>
  <Override PartName="/word/media/3dc1c33ee3d779837e27230cc7e68c2552334f51.png" ContentType="image/png"/>
  <Override PartName="/word/media/476fddea757010a7b33ff7347c1128914bf3d276.png" ContentType="image/png"/>
  <Override PartName="/word/media/4c4da482949e5f9b9c4e4e56d065d92a662de5e3.png" ContentType="image/png"/>
  <Override PartName="/word/media/5803877a49d538bb985141d5e3f3bf1790155c78.png" ContentType="image/png"/>
  <Override PartName="/word/media/59c9f20b8891ff9c40d5d68936cb2ba731888ffe.png" ContentType="image/png"/>
  <Override PartName="/word/media/5b32eee4aa2a30a76d747075e03e0c1c64ddb13b.png" ContentType="image/png"/>
  <Override PartName="/word/media/83b08771b5ad852ae4b5a3b83118ab515a2a6bab.png" ContentType="image/png"/>
  <Override PartName="/word/media/8a92797b479e6dcf99fbc982adf5e7e822fd6826.png" ContentType="image/png"/>
  <Override PartName="/word/media/a13db7bdde0aac5ff23be75cd640601b9777dd0f.png" ContentType="image/png"/>
  <Override PartName="/word/media/b3e1463b82bab1b66cd9555da8af4f352f7ce2ec.png" ContentType="image/png"/>
  <Override PartName="/word/media/fac087ea19cccce365c68d94a3ae73adbc4dc09e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Теорема</w:t>
      </w:r>
      <w:r>
        <w:t xml:space="preserve"> </w:t>
      </w:r>
      <w:r>
        <w:t xml:space="preserve">F</w:t>
      </w:r>
      <w:r>
        <w:t xml:space="preserve"> </w:t>
      </w:r>
      <w:r>
        <w:t xml:space="preserve">—</w:t>
      </w:r>
      <w:r>
        <w:t xml:space="preserve"> </w:t>
      </w:r>
      <w:r>
        <w:t xml:space="preserve">косет-конструкция</w:t>
      </w:r>
      <w:r>
        <w:t xml:space="preserve"> </w:t>
      </w:r>
      <w:r>
        <w:t xml:space="preserve">карты</w:t>
      </w:r>
      <w:r>
        <w:t xml:space="preserve"> </w:t>
      </w:r>
      <w:r>
        <w:t xml:space="preserve">Клейна</w:t>
      </w:r>
    </w:p>
    <w:p>
      <w:pPr>
        <w:pStyle w:val="Subtitle"/>
      </w:pPr>
      <w:r>
        <w:t xml:space="preserve">PLANETVORTEX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point</w:t>
      </w:r>
      <w:r>
        <w:t xml:space="preserve"> </w:t>
      </w:r>
      <w:r>
        <w:t xml:space="preserve">monograph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формулировка"/>
    <w:p>
      <w:pPr>
        <w:pStyle w:val="Heading2"/>
      </w:pPr>
      <w:r>
        <w:t xml:space="preserve">Формулировка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(168 классов над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F</m:t>
            </m:r>
          </m:e>
          <m:sub>
            <m:r>
              <m:t>7</m:t>
            </m:r>
          </m:sub>
        </m:sSub>
      </m:oMath>
      <w:r>
        <w:t xml:space="preserve">) и пусть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— произвольная пара с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 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a</m:t>
        </m:r>
        <m:r>
          <m:rPr>
            <m:sty m:val="p"/>
          </m:rPr>
          <m:t>⟩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b</m:t>
        </m:r>
        <m:r>
          <m:rPr>
            <m:sty m:val="p"/>
          </m:rPr>
          <m:t>⟩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a</m:t>
        </m:r>
        <m:r>
          <m:t>b</m:t>
        </m:r>
        <m:r>
          <m:rPr>
            <m:sty m:val="p"/>
          </m:rPr>
          <m:t>⟩</m:t>
        </m:r>
      </m:oMath>
      <w:r>
        <w:t xml:space="preserve"> </w:t>
      </w:r>
      <w:r>
        <w:t xml:space="preserve">определим вершины как правые косеты</w:t>
      </w:r>
      <w:r>
        <w:t xml:space="preserve"> </w:t>
      </w:r>
      <m:oMath>
        <m:r>
          <m:t>g</m:t>
        </m:r>
        <m:r>
          <m:t>Y</m:t>
        </m:r>
      </m:oMath>
      <w:r>
        <w:t xml:space="preserve">, рёбра как</w:t>
      </w:r>
      <w:r>
        <w:t xml:space="preserve"> </w:t>
      </w:r>
      <m:oMath>
        <m:r>
          <m:t>g</m:t>
        </m:r>
        <m:r>
          <m:t>X</m:t>
        </m:r>
      </m:oMath>
      <w:r>
        <w:t xml:space="preserve">, грани как</w:t>
      </w:r>
      <w:r>
        <w:t xml:space="preserve"> </w:t>
      </w:r>
      <m:oMath>
        <m:r>
          <m:t>g</m:t>
        </m:r>
        <m:r>
          <m:t>Z</m:t>
        </m:r>
      </m:oMath>
      <w:r>
        <w:t xml:space="preserve">, инцидентность — по непустому пересечению косетов. Тогда вершин 56, рёбер 84, граней 24 и</w:t>
      </w:r>
      <w:r>
        <w:t xml:space="preserve"> </w:t>
      </w:r>
      <m:oMath>
        <m:r>
          <m:t>V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; каждая вершина имеет степень 3, каждая грань — 7-цикл; карта связна и ориентируема; левое действие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верно — карта Клейна</w:t>
      </w:r>
      <w:r>
        <w:t xml:space="preserve"> </w:t>
      </w:r>
      <m:oMath>
        <m:r>
          <m:rPr>
            <m:sty m:val="p"/>
          </m:rPr>
          <m:t>{</m:t>
        </m:r>
        <m:r>
          <m:t>7</m:t>
        </m:r>
        <m:r>
          <m:rPr>
            <m:sty m:val="p"/>
          </m:rPr>
          <m:t>,</m:t>
        </m:r>
        <m:r>
          <m:t>3</m:t>
        </m:r>
        <m:sSub>
          <m:e>
            <m:r>
              <m:rPr>
                <m:sty m:val="p"/>
              </m:rPr>
              <m:t>}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с</w:t>
      </w:r>
      <w:r>
        <w:t xml:space="preserve"> 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≅</m:t>
        </m:r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e>
        </m:d>
        <m:r>
          <m:rPr>
            <m:sty m:val="p"/>
          </m:rPr>
          <m:t>=</m:t>
        </m:r>
        <m:r>
          <m:t>336</m:t>
        </m:r>
      </m:oMath>
      <w:r>
        <w:t xml:space="preserve"> </w:t>
      </w:r>
      <w:r>
        <w:t xml:space="preserve">с отражениями.</w:t>
      </w:r>
    </w:p>
    <w:bookmarkEnd w:id="20"/>
    <w:bookmarkStart w:id="21" w:name="доказательство"/>
    <w:p>
      <w:pPr>
        <w:pStyle w:val="Heading2"/>
      </w:pPr>
      <w:r>
        <w:t xml:space="preserve">Доказательство</w:t>
      </w:r>
    </w:p>
    <w:p>
      <w:pPr>
        <w:pStyle w:val="FirstParagraph"/>
      </w:pPr>
      <w:r>
        <w:t xml:space="preserve">Число правых косетов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равно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/</m:t>
        </m:r>
        <m:d>
          <m:dPr>
            <m:begChr m:val="|"/>
            <m:endChr m:val="|"/>
            <m:sepChr m:val=""/>
            <m:grow/>
          </m:dPr>
          <m:e>
            <m:r>
              <m:t>H</m:t>
            </m:r>
          </m:e>
        </m:d>
      </m:oMath>
      <w:r>
        <w:t xml:space="preserve">:</w:t>
      </w:r>
      <w:r>
        <w:t xml:space="preserve"> </w:t>
      </w:r>
      <m:oMath>
        <m:r>
          <m:t>168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56</m:t>
        </m:r>
      </m:oMath>
      <w:r>
        <w:t xml:space="preserve">,</w:t>
      </w:r>
      <w:r>
        <w:t xml:space="preserve"> </w:t>
      </w:r>
      <m:oMath>
        <m:r>
          <m:t>168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84</m:t>
        </m:r>
      </m:oMath>
      <w:r>
        <w:t xml:space="preserve">,</w:t>
      </w:r>
      <w:r>
        <w:t xml:space="preserve"> </w:t>
      </w:r>
      <m:oMath>
        <m:r>
          <m:t>168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=</m:t>
        </m:r>
        <m:r>
          <m:t>24</m:t>
        </m:r>
      </m:oMath>
      <w:r>
        <w:t xml:space="preserve">. Стабилизаторная цепь треугольной группы даёт ровно 3 ребра на вершину, 2 вершины и 2 грани на ребро, 7-цикл рёбер на грань. Тройка (2,3,7) порождает</w:t>
      </w:r>
      <w:r>
        <w:t xml:space="preserve"> </w:t>
      </w:r>
      <m:oMath>
        <m:r>
          <m:t>G</m:t>
        </m:r>
      </m:oMath>
      <w:r>
        <w:t xml:space="preserve">, поэтому флаговый граф связен; полный набор из 336 попарно инцидентных троек имеет двудольный граф смежности (два флага смежны iff различаются одним членом) — ориентируемость. Значит</w:t>
      </w:r>
      <w:r>
        <w:t xml:space="preserve"> </w:t>
      </w:r>
      <m:oMath>
        <m:r>
          <m:t>χ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, род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χ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 Верность: ядро</w:t>
      </w:r>
      <w:r>
        <w:t xml:space="preserve"> </w:t>
      </w:r>
      <m:oMath>
        <m:r>
          <m:rPr>
            <m:sty m:val="p"/>
          </m:rPr>
          <m:t>⟨</m:t>
        </m:r>
        <m:r>
          <m:t>b</m:t>
        </m:r>
        <m:r>
          <m:rPr>
            <m:sty m:val="p"/>
          </m:rPr>
          <m:t>⟩</m:t>
        </m:r>
      </m:oMath>
      <w:r>
        <w:t xml:space="preserve"> </w:t>
      </w:r>
      <w:r>
        <w:t xml:space="preserve">тривиально в простой группе</w:t>
      </w:r>
      <w:r>
        <w:t xml:space="preserve"> </w:t>
      </w:r>
      <m:oMath>
        <m:r>
          <m:t>G</m:t>
        </m:r>
      </m:oMath>
      <w:r>
        <w:t xml:space="preserve">. Граница Хурвица</w:t>
      </w:r>
      <w:r>
        <w:t xml:space="preserve"> </w:t>
      </w:r>
      <m:oMath>
        <m:r>
          <m:t>84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168</m:t>
        </m:r>
      </m:oMath>
      <w:r>
        <w:t xml:space="preserve"> </w:t>
      </w:r>
      <w:r>
        <w:t xml:space="preserve">ограничивает автоморфизмы, сохраняющие ориентацию, сертифицированными 168; отражения удваивают счёт.</w:t>
      </w:r>
      <w:r>
        <w:t xml:space="preserve"> </w:t>
      </w:r>
      <m:oMath>
        <m:r>
          <m:rPr>
            <m:sty m:val="p"/>
          </m:rPr>
          <m:t>▫</m:t>
        </m:r>
      </m:oMath>
    </w:p>
    <w:bookmarkEnd w:id="21"/>
    <w:bookmarkStart w:id="22" w:name="вычислительный-сертификат"/>
    <w:p>
      <w:pPr>
        <w:pStyle w:val="Heading2"/>
      </w:pPr>
      <w:r>
        <w:t xml:space="preserve">Вычислительный сертификат</w:t>
      </w:r>
    </w:p>
    <w:p>
      <w:pPr>
        <w:pStyle w:val="FirstParagraph"/>
      </w:pPr>
      <w:r>
        <w:t xml:space="preserve">Стадия V2 (V2_klein_tiling_default.json): точные комбинаторные регистры, связный и двудольный флаговый граф и флаговый сертификат PGL(2,7) на всех 336 × 3 стеночных движениях.</w:t>
      </w:r>
    </w:p>
    <w:bookmarkEnd w:id="22"/>
    <w:sectPr>
      <w:footerReference r:id="rId9" w:type="default"/>
      <w:pgSz w:h="16838" w:orient="portrait" w:w="11906"/>
      <w:pgMar w:bottom="1440" w:footer="992" w:gutter="0" w:header="850" w:left="1701" w:right="1417" w:top="144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:ilvl="0" w:tentative="1">
      <w:start w:val="1"/>
      <w:numFmt w:val="bullet"/>
      <w:lvlText w:val="●"/>
      <w:lvlJc w:val="left"/>
      <w:pPr>
        <w:ind w:hanging="360" w:left="720"/>
      </w:pPr>
    </w:lvl>
    <w:lvl w:ilvl="1" w:tentative="1">
      <w:start w:val="1"/>
      <w:numFmt w:val="bullet"/>
      <w:lvlText w:val="○"/>
      <w:lvlJc w:val="left"/>
      <w:pPr>
        <w:ind w:hanging="360" w:left="1440"/>
      </w:pPr>
    </w:lvl>
    <w:lvl w:ilvl="2" w:tentative="1">
      <w:start w:val="1"/>
      <w:numFmt w:val="bullet"/>
      <w:lvlText w:val="■"/>
      <w:lvlJc w:val="left"/>
      <w:pPr>
        <w:ind w:hanging="360" w:left="2160"/>
      </w:pPr>
    </w:lvl>
    <w:lvl w:ilvl="3" w:tentative="1">
      <w:start w:val="1"/>
      <w:numFmt w:val="bullet"/>
      <w:lvlText w:val="●"/>
      <w:lvlJc w:val="left"/>
      <w:pPr>
        <w:ind w:hanging="360" w:left="2880"/>
      </w:pPr>
    </w:lvl>
    <w:lvl w:ilvl="4" w:tentative="1">
      <w:start w:val="1"/>
      <w:numFmt w:val="bullet"/>
      <w:lvlText w:val="○"/>
      <w:lvlJc w:val="left"/>
      <w:pPr>
        <w:ind w:hanging="360" w:left="3600"/>
      </w:pPr>
    </w:lvl>
    <w:lvl w:ilvl="5" w:tentative="1">
      <w:start w:val="1"/>
      <w:numFmt w:val="bullet"/>
      <w:lvlText w:val="■"/>
      <w:lvlJc w:val="left"/>
      <w:pPr>
        <w:ind w:hanging="360" w:left="4320"/>
      </w:pPr>
    </w:lvl>
    <w:lvl w:ilvl="6" w:tentative="1">
      <w:start w:val="1"/>
      <w:numFmt w:val="bullet"/>
      <w:lvlText w:val="●"/>
      <w:lvlJc w:val="left"/>
      <w:pPr>
        <w:ind w:hanging="360" w:left="5040"/>
      </w:pPr>
    </w:lvl>
    <w:lvl w:ilvl="7" w:tentative="1">
      <w:start w:val="1"/>
      <w:numFmt w:val="bullet"/>
      <w:lvlText w:val="●"/>
      <w:lvlJc w:val="left"/>
      <w:pPr>
        <w:ind w:hanging="360" w:left="5760"/>
      </w:pPr>
    </w:lvl>
    <w:lvl w:ilvl="8" w:tentative="1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3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4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5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6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7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8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9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0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1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2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3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default="1" w:styleId="Normal" w:type="paragraph">
    <w:name w:val="Normal"/>
    <w:qFormat/>
  </w:style>
  <w:style w:default="true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styleId="Heading3" w:type="paragraph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styleId="Heading5" w:type="paragraph">
    <w:pPr>
      <w:outlineLvl w:val="4"/>
    </w:pPr>
    <w:name w:val="Heading 5"/>
    <w:basedOn w:val="Normal"/>
    <w:next w:val="Normal"/>
    <w:qFormat/>
    <w:rPr>
      <w:color w:val="2E74B5"/>
    </w:rPr>
  </w:style>
  <w:style w:styleId="Heading6" w:type="paragraph">
    <w:pPr>
      <w:outlineLvl w:val="5"/>
    </w:pPr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styleId="9" w:type="paragraph">
    <w:name w:val="toc 1"/>
    <w:basedOn w:val="Normal"/>
    <w:uiPriority w:val="39"/>
    <w:pPr>
      <w:tabs>
        <w:tab w:leader="dot" w:pos="9026" w:val="right"/>
      </w:tabs>
      <w:spacing w:after="60" w:before="120"/>
    </w:pPr>
    <w:rPr>
      <w:b/>
      <w:bCs/>
    </w:rPr>
  </w:style>
  <w:style xmlns:w="http://schemas.openxmlformats.org/wordprocessingml/2006/main" w:styleId="11" w:type="paragraph">
    <w:name w:val="toc 2"/>
    <w:basedOn w:val="Normal"/>
    <w:uiPriority w:val="39"/>
    <w:pPr>
      <w:tabs>
        <w:tab w:leader="dot" w:pos="9026" w:val="right"/>
      </w:tabs>
      <w:ind w:left="360"/>
      <w:spacing w:after="40" w:before="60"/>
    </w:pPr>
  </w:style>
  <w:style xmlns:w="http://schemas.openxmlformats.org/wordprocessingml/2006/main" w:styleId="12" w:type="paragraph">
    <w:name w:val="toc 3"/>
    <w:basedOn w:val="Normal"/>
    <w:uiPriority w:val="39"/>
    <w:pPr>
      <w:tabs>
        <w:tab w:leader="dot" w:pos="9026" w:val="right"/>
      </w:tabs>
      <w:ind w:left="720"/>
      <w:spacing w:after="20" w:before="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Id="rId10" Target="footer2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Теорема F — косет-конструкция карты Клейна</dc:title>
  <dc:creator/>
  <cp:keywords/>
  <dcterms:created xsi:type="dcterms:W3CDTF">2026-10-09T07:38:44Z</dcterms:created>
  <dcterms:modified xsi:type="dcterms:W3CDTF">2026-10-09T07:38:44Z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PLANETVORTEX — the point monograph</vt:lpwstr>
  </property>
</Properties>
</file>