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</w:t>
      </w:r>
      <w:r>
        <w:t xml:space="preserve"> </w:t>
      </w:r>
      <w:r>
        <w:t xml:space="preserve">G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budget</w:t>
      </w:r>
      <w:r>
        <w:t xml:space="preserve"> </w:t>
      </w:r>
      <w:r>
        <w:t xml:space="preserve">closure</w:t>
      </w:r>
      <w:r>
        <w:t xml:space="preserve"> </w:t>
      </w:r>
      <w:r>
        <w:t xml:space="preserve">(the</w:t>
      </w:r>
      <w:r>
        <w:t xml:space="preserve"> </w:t>
      </w:r>
      <w:r>
        <w:t xml:space="preserve">capstone)</w:t>
      </w:r>
    </w:p>
    <w:p>
      <w:pPr>
        <w:pStyle w:val="Subtitle"/>
      </w:pPr>
      <w:r>
        <w:t xml:space="preserve">PLANETVORTEX</w:t>
      </w:r>
      <w:r>
        <w:t xml:space="preserve"> </w:t>
      </w:r>
      <w:r>
        <w:t xml:space="preserve">—</w:t>
      </w:r>
      <w:r>
        <w:t xml:space="preserve"> </w:t>
      </w:r>
      <w:r>
        <w:t xml:space="preserve">the</w:t>
      </w:r>
      <w:r>
        <w:t xml:space="preserve"> </w:t>
      </w:r>
      <w:r>
        <w:t xml:space="preserve">point</w:t>
      </w:r>
      <w:r>
        <w:t xml:space="preserve"> </w:t>
      </w:r>
      <w:r>
        <w:t xml:space="preserve">monograph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statement"/>
    <w:p>
      <w:pPr>
        <w:pStyle w:val="Heading2"/>
      </w:pPr>
      <w:r>
        <w:t xml:space="preserve">Statement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be the gravitational parameters of the registered 12-body set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the geometric-mean normalization. Then: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exactly; the vertex-angle register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σ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(any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) satisfies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 </w:t>
      </w:r>
      <w:r>
        <w:t xml:space="preserve">exactly; the decorated tessellation of the 12 antipodal heptagon pairs therefore closes on the Gauss–Bonnet budget of the Klein quartic,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2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2</m:t>
            </m:r>
          </m:e>
        </m:nary>
        <m:d>
          <m:dPr>
            <m:begChr m:val="("/>
            <m:endChr m:val=")"/>
            <m:sepChr m:val=""/>
            <m:grow/>
          </m:dPr>
          <m:e>
            <m:r>
              <m:t>5</m:t>
            </m:r>
            <m:r>
              <m:t>π</m:t>
            </m:r>
            <m:r>
              <m:rPr>
                <m:sty m:val="p"/>
              </m:rPr>
              <m:t>−</m:t>
            </m:r>
            <m:r>
              <m:t>7</m:t>
            </m:r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; and the heavier the body, the wider its heptagon. The Euler characteristic absorbs the mass ladder.</w:t>
      </w:r>
    </w:p>
    <w:bookmarkEnd w:id="20"/>
    <w:bookmarkStart w:id="21" w:name="proof"/>
    <w:p>
      <w:pPr>
        <w:pStyle w:val="Heading2"/>
      </w:pPr>
      <w:r>
        <w:t xml:space="preserve">Proof</w:t>
      </w:r>
    </w:p>
    <w:p>
      <w:pPr>
        <w:pStyle w:val="Compact"/>
        <w:numPr>
          <w:ilvl w:val="0"/>
          <w:numId w:val="1001"/>
        </w:numPr>
      </w:pP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(2)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σ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s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. (3) The area of a hyperbolic</w:t>
      </w:r>
      <w:r>
        <w:t xml:space="preserve"> </w:t>
      </w:r>
      <m:oMath>
        <m:r>
          <m:t>n</m:t>
        </m:r>
      </m:oMath>
      <w:r>
        <w:t xml:space="preserve">-gon with interior angles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π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(Gauss–Bonnet per cell), so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2</m:t>
            </m:r>
          </m:e>
        </m:nary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60</m:t>
            </m:r>
            <m:r>
              <m:t>π</m:t>
            </m:r>
            <m:r>
              <m:rPr>
                <m:sty m:val="p"/>
              </m:rPr>
              <m:t>−</m:t>
            </m:r>
            <m:r>
              <m:t>7</m:t>
            </m:r>
            <m:r>
              <m:rPr>
                <m:sty m:val="p"/>
              </m:rPr>
              <m:t>⋅</m:t>
            </m:r>
            <m:r>
              <m:t>8</m:t>
            </m:r>
            <m:r>
              <m:t>π</m:t>
            </m:r>
          </m:e>
        </m:d>
        <m:r>
          <m:rPr>
            <m:sty m:val="p"/>
          </m:rPr>
          <m:t>=</m:t>
        </m:r>
        <m:r>
          <m:t>8</m:t>
        </m:r>
        <m:r>
          <m:t>π</m:t>
        </m:r>
      </m:oMath>
      <w:r>
        <w:t xml:space="preserve">. (4) A regular hyperbolic heptagon of vertex angle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exists and is unique; its right-triangle trigonometry gives the closed forms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; the monotonicity chain</w:t>
      </w:r>
      <w: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s</m:t>
        </m:r>
        <m:r>
          <m:rPr>
            <m:sty m:val="p"/>
          </m:rPr>
          <m:t>↑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↓</m:t>
        </m:r>
        <m:r>
          <m:rPr>
            <m:sty m:val="p"/>
          </m:rPr>
          <m:t>⇒</m:t>
        </m:r>
        <m:r>
          <m:t>A</m:t>
        </m:r>
        <m:r>
          <m:rPr>
            <m:sty m:val="p"/>
          </m:rPr>
          <m:t>↑</m:t>
        </m:r>
      </m:oMath>
      <w:r>
        <w:t xml:space="preserve"> </w:t>
      </w:r>
      <w:r>
        <w:t xml:space="preserve">finishes the claim.</w:t>
      </w:r>
      <w:r>
        <w:t xml:space="preserve"> </w:t>
      </w:r>
      <m:oMath>
        <m:r>
          <m:rPr>
            <m:sty m:val="p"/>
          </m:rPr>
          <m:t>▫</m:t>
        </m:r>
      </m:oMath>
    </w:p>
    <w:bookmarkEnd w:id="21"/>
    <w:bookmarkStart w:id="22" w:name="computational-certificate"/>
    <w:p>
      <w:pPr>
        <w:pStyle w:val="Heading2"/>
      </w:pPr>
      <w:r>
        <w:t xml:space="preserve">Computational certificate</w:t>
      </w:r>
    </w:p>
    <w:p>
      <w:pPr>
        <w:pStyle w:val="FirstParagraph"/>
      </w:pPr>
      <w:r>
        <w:t xml:space="preserve">Stage V2 at 50 dps: the budget closure Σα − 8π = 4.3e−50, the area closure, the Pythagoras on all 12 registers, the Poincaré-disk witnesses; the C99 kernel re-derives the algebra independently (long-double residual 0.0).</w:t>
      </w:r>
    </w:p>
    <w:bookmarkEnd w:id="22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480"/>
      </w:pPr>
    </w:lvl>
    <w:lvl w:ilvl="1">
      <w:start w:val="1"/>
      <w:numFmt w:val="decimal"/>
      <w:lvlText w:val="(%2)"/>
      <w:lvlJc w:val="left"/>
      <w:pPr>
        <w:ind w:left="1440" w:hanging="480"/>
      </w:pPr>
    </w:lvl>
    <w:lvl w:ilvl="2">
      <w:start w:val="1"/>
      <w:numFmt w:val="decimal"/>
      <w:lvlText w:val="(%3)"/>
      <w:lvlJc w:val="left"/>
      <w:pPr>
        <w:ind w:left="2160" w:hanging="480"/>
      </w:pPr>
    </w:lvl>
    <w:lvl w:ilvl="3">
      <w:start w:val="1"/>
      <w:numFmt w:val="decimal"/>
      <w:lvlText w:val="(%4)"/>
      <w:lvlJc w:val="left"/>
      <w:pPr>
        <w:ind w:left="2880" w:hanging="480"/>
      </w:pPr>
    </w:lvl>
    <w:lvl w:ilvl="4">
      <w:start w:val="1"/>
      <w:numFmt w:val="decimal"/>
      <w:lvlText w:val="(%5)"/>
      <w:lvlJc w:val="left"/>
      <w:pPr>
        <w:ind w:left="3600" w:hanging="480"/>
      </w:pPr>
    </w:lvl>
    <w:lvl w:ilvl="5">
      <w:start w:val="1"/>
      <w:numFmt w:val="decimal"/>
      <w:lvlText w:val="(%6)"/>
      <w:lvlJc w:val="left"/>
      <w:pPr>
        <w:ind w:left="4320" w:hanging="480"/>
      </w:pPr>
    </w:lvl>
    <w:lvl w:ilvl="6">
      <w:start w:val="1"/>
      <w:numFmt w:val="decimal"/>
      <w:lvlText w:val="(%7)"/>
      <w:lvlJc w:val="left"/>
      <w:pPr>
        <w:ind w:left="5040" w:hanging="480"/>
      </w:pPr>
    </w:lvl>
    <w:lvl w:ilvl="7">
      <w:start w:val="1"/>
      <w:numFmt w:val="decimal"/>
      <w:lvlText w:val="(%8)"/>
      <w:lvlJc w:val="left"/>
      <w:pPr>
        <w:ind w:left="5760" w:hanging="480"/>
      </w:pPr>
    </w:lvl>
    <w:lvl w:ilvl="8">
      <w:start w:val="1"/>
      <w:numFmt w:val="decimal"/>
      <w:lvlText w:val="(%9)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G — the budget closure (the capstone)</dc:title>
  <dc:creator/>
  <cp:keywords/>
  <dcterms:created xsi:type="dcterms:W3CDTF">2026-10-09T07:38:45Z</dcterms:created>
  <dcterms:modified xsi:type="dcterms:W3CDTF">2026-10-09T07:38:45Z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PLANETVORTEX — the point monograph</vt:lpwstr>
  </property>
</Properties>
</file>