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Теорема</w:t>
      </w:r>
      <w:r>
        <w:t xml:space="preserve"> </w:t>
      </w:r>
      <w:r>
        <w:t xml:space="preserve">G</w:t>
      </w:r>
      <w:r>
        <w:t xml:space="preserve"> </w:t>
      </w:r>
      <w:r>
        <w:t xml:space="preserve">—</w:t>
      </w:r>
      <w:r>
        <w:t xml:space="preserve"> </w:t>
      </w:r>
      <w:r>
        <w:t xml:space="preserve">замыкание</w:t>
      </w:r>
      <w:r>
        <w:t xml:space="preserve"> </w:t>
      </w:r>
      <w:r>
        <w:t xml:space="preserve">бюджета</w:t>
      </w:r>
      <w:r>
        <w:t xml:space="preserve"> </w:t>
      </w:r>
      <w:r>
        <w:t xml:space="preserve">(венец)</w:t>
      </w:r>
    </w:p>
    <w:p>
      <w:pPr>
        <w:pStyle w:val="Subtitle"/>
      </w:pPr>
      <w:r>
        <w:t xml:space="preserve">PLANETVORTEX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point</w:t>
      </w:r>
      <w:r>
        <w:t xml:space="preserve"> </w:t>
      </w:r>
      <w:r>
        <w:t xml:space="preserve">monograph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формулировка"/>
    <w:p>
      <w:pPr>
        <w:pStyle w:val="Heading2"/>
      </w:pPr>
      <w:r>
        <w:t xml:space="preserve">Формулировка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— гравитационные параметры зафиксированного 12-телного набора и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ln</m:t>
            </m:r>
          </m:e>
        </m:nary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нормировка на геометрическое среднее. Тогда: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точно; регистр углов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σ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(при любом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) удовлетворяет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8</m:t>
        </m:r>
        <m:r>
          <m:t>π</m:t>
        </m:r>
      </m:oMath>
      <w:r>
        <w:t xml:space="preserve"> </w:t>
      </w:r>
      <w:r>
        <w:t xml:space="preserve">точно; украшенная замощение 12 антиподальных пар потому замыкается на бюджет Гаусса–Бонне квартики Клейна,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2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8</m:t>
        </m:r>
        <m:r>
          <m:t>π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g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; и чем тяжелее тело, тем шире его семиугольник. Характеристика Эйлера вбирает лестницу масс.</w:t>
      </w:r>
    </w:p>
    <w:bookmarkEnd w:id="20"/>
    <w:bookmarkStart w:id="21" w:name="доказательство"/>
    <w:p>
      <w:pPr>
        <w:pStyle w:val="Heading2"/>
      </w:pPr>
      <w:r>
        <w:t xml:space="preserve">Доказательство</w:t>
      </w:r>
    </w:p>
    <w:p>
      <w:pPr>
        <w:pStyle w:val="Compact"/>
        <w:numPr>
          <w:ilvl w:val="0"/>
          <w:numId w:val="1001"/>
        </w:numPr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ln</m:t>
            </m:r>
          </m:e>
        </m:nary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12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ln</m:t>
            </m:r>
          </m:e>
        </m:nary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(2)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σ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8</m:t>
        </m:r>
        <m:r>
          <m:t>π</m:t>
        </m:r>
      </m:oMath>
      <w:r>
        <w:t xml:space="preserve">. (3) Площадь гиперболического</w:t>
      </w:r>
      <w:r>
        <w:t xml:space="preserve"> </w:t>
      </w:r>
      <m:oMath>
        <m:r>
          <m:t>n</m:t>
        </m:r>
      </m:oMath>
      <w:r>
        <w:t xml:space="preserve">-угольника с углами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равна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π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(Гаусс–Бонне для ячейки), поэтому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2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60</m:t>
            </m:r>
            <m:r>
              <m:t>π</m:t>
            </m:r>
            <m:r>
              <m:rPr>
                <m:sty m:val="p"/>
              </m:rPr>
              <m:t>−</m:t>
            </m:r>
            <m:r>
              <m:t>56</m:t>
            </m:r>
            <m:r>
              <m:t>π</m:t>
            </m:r>
          </m:e>
        </m:d>
        <m:r>
          <m:rPr>
            <m:sty m:val="p"/>
          </m:rPr>
          <m:t>=</m:t>
        </m:r>
        <m:r>
          <m:t>8</m:t>
        </m:r>
        <m:r>
          <m:t>π</m:t>
        </m:r>
      </m:oMath>
      <w:r>
        <w:t xml:space="preserve">. (4) Правильный гиперболический семиугольник с углом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существует и единствен; тригонометрия прямоугольного треугольника даёт замкнутые формы</w:t>
      </w:r>
      <w:r>
        <w:t xml:space="preserve"> </w:t>
      </w:r>
      <m:oMath>
        <m:r>
          <m:rPr>
            <m:sty m:val="p"/>
          </m:rPr>
          <m:t>cosh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ℓ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; цепочка монотонности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↑</m:t>
        </m:r>
        <m:r>
          <m:rPr>
            <m:sty m:val="p"/>
          </m:rPr>
          <m:t>⇒</m:t>
        </m:r>
        <m:r>
          <m:t>s</m:t>
        </m:r>
        <m:r>
          <m:rPr>
            <m:sty m:val="p"/>
          </m:rPr>
          <m:t>↑</m:t>
        </m:r>
        <m:r>
          <m:rPr>
            <m:sty m:val="p"/>
          </m:rPr>
          <m:t>⇒</m:t>
        </m:r>
        <m:r>
          <m:t>α</m:t>
        </m:r>
        <m:r>
          <m:rPr>
            <m:sty m:val="p"/>
          </m:rPr>
          <m:t>↓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↑</m:t>
        </m:r>
      </m:oMath>
      <w:r>
        <w:t xml:space="preserve"> </w:t>
      </w:r>
      <w:r>
        <w:t xml:space="preserve">завершает утверждение.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вычислительный-сертификат"/>
    <w:p>
      <w:pPr>
        <w:pStyle w:val="Heading2"/>
      </w:pPr>
      <w:r>
        <w:t xml:space="preserve">Вычислительный сертификат</w:t>
      </w:r>
    </w:p>
    <w:p>
      <w:pPr>
        <w:pStyle w:val="FirstParagraph"/>
      </w:pPr>
      <w:r>
        <w:t xml:space="preserve">Стадия V2 при 50 dps: замыкание бюджета Σα − 8π = 4,3·10⁻⁵⁰, замыкание площади, Пифагор на всех 12 регистрах, свидетели в диске Пуанкаре; C99-ядро независимо воспроизводит алгебру (остаток long double 0,0).</w:t>
      </w:r>
    </w:p>
    <w:bookmarkEnd w:id="22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G — замыкание бюджета (венец)</dc:title>
  <dc:creator/>
  <cp:keywords/>
  <dcterms:created xsi:type="dcterms:W3CDTF">2026-10-09T07:38:45Z</dcterms:created>
  <dcterms:modified xsi:type="dcterms:W3CDTF">2026-10-09T07:38:45Z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PLANETVORTEX — the point monograph</vt:lpwstr>
  </property>
</Properties>
</file>