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line="520" w:lineRule="atLeast"/>
        <w:jc w:val="center"/>
      </w:pPr>
      <w:r>
        <w:rPr>
          <w:rFonts w:ascii="Liberation Sans" w:hAnsi="Liberation Sans"/>
          <w:b/>
          <w:bCs/>
          <w:color w:val="0A1A3A"/>
          <w:sz w:val="44"/>
          <w:szCs w:val="44"/>
        </w:rPr>
        <w:t xml:space="preserve">Lemma D: the averaged-frequency bridge and the compatibility curve D1</w:t>
      </w:r>
    </w:p>
    <w:p>
      <w:pPr>
        <w:spacing w:after="200" w:line="340" w:lineRule="atLeast"/>
        <w:jc w:val="center"/>
      </w:pPr>
      <w:r>
        <w:rPr>
          <w:rFonts w:ascii="Liberation Sans" w:hAnsi="Liberation Sans"/>
          <w:b/>
          <w:bCs/>
          <w:color w:val="4F81BD"/>
          <w:sz w:val="26"/>
          <w:szCs w:val="26"/>
        </w:rPr>
        <w:t xml:space="preserve">A polyvortex mini-repository theorem monograph</w:t>
      </w:r>
    </w:p>
    <w:p>
      <w:pPr>
        <w:spacing w:after="60" w:line="300"/>
        <w:jc w:val="center"/>
      </w:pPr>
      <w:r>
        <w:rPr>
          <w:rFonts w:ascii="Liberation Serif" w:hAnsi="Liberation Serif"/>
          <w:color w:val="1A2433"/>
          <w:sz w:val="24"/>
          <w:szCs w:val="24"/>
        </w:rPr>
        <w:t xml:space="preserve">Isaev Iskhak Khamzatovich (ORCID 0009-0003-7299-0701)</w:t>
      </w:r>
    </w:p>
    <w:p>
      <w:pPr>
        <w:spacing w:after="240" w:line="276"/>
        <w:jc w:val="center"/>
      </w:pPr>
      <w:r>
        <w:rPr>
          <w:rFonts w:ascii="Liberation Sans" w:hAnsi="Liberation Sans"/>
          <w:i/>
          <w:iCs/>
          <w:color w:val="5A6472"/>
          <w:sz w:val="20"/>
          <w:szCs w:val="20"/>
        </w:rPr>
        <w:t xml:space="preserve">TRIVORTEX Research Program · the polyvortex mini-repository · v1.1.0 · Theorem Monograph Edition</w:t>
      </w:r>
    </w:p>
    <w:tbl>
      <w:tblPr>
        <w:tblW w:type="pct" w:w="5000"/>
        <w:tblBorders>
          <w:top w:val="single" w:color="0A1A3A" w:sz="4"/>
          <w:left w:val="none"/>
          <w:bottom w:val="single" w:color="0A1A3A" w:sz="4"/>
          <w:right w:val="none"/>
          <w:insideH w:val="single" w:color="C9D2E3" w:sz="1"/>
          <w:insideV w:val="none"/>
        </w:tblBorders>
      </w:tblPr>
      <w:tblGrid>
        <w:gridCol w:w="2636"/>
        <w:gridCol w:w="6152"/>
      </w:tblGrid>
      <w:tr>
        <w:trPr>
          <w:cantSplit/>
          <w:tblHeader/>
        </w:trPr>
        <w:tc>
          <w:tcPr>
            <w:tcW w:type="pct" w:w="1500"/>
            <w:shd w:fill="0A1A3A" w:val="clear"/>
            <w:tcMar>
              <w:top w:type="dxa" w:w="70"/>
              <w:left w:type="dxa" w:w="120"/>
              <w:bottom w:type="dxa" w:w="70"/>
              <w:right w:type="dxa" w:w="120"/>
            </w:tcMar>
          </w:tcPr>
          <w:p>
            <w:pPr>
              <w:spacing w:line="276"/>
              <w:jc w:val="left"/>
            </w:pPr>
            <w:r>
              <w:rPr>
                <w:rFonts w:ascii="Liberation Sans" w:hAnsi="Liberation Sans"/>
                <w:b/>
                <w:bCs/>
                <w:color w:val="FFFFFF"/>
                <w:sz w:val="21"/>
                <w:szCs w:val="21"/>
              </w:rPr>
              <w:t xml:space="preserve">Study</w:t>
            </w:r>
          </w:p>
        </w:tc>
        <w:tc>
          <w:tcPr>
            <w:tcW w:type="pct" w:w="3500"/>
            <w:shd w:fill="0A1A3A" w:val="clear"/>
            <w:tcMar>
              <w:top w:type="dxa" w:w="70"/>
              <w:left w:type="dxa" w:w="120"/>
              <w:bottom w:type="dxa" w:w="70"/>
              <w:right w:type="dxa" w:w="120"/>
            </w:tcMar>
          </w:tcPr>
          <w:p>
            <w:pPr>
              <w:spacing w:line="276"/>
              <w:jc w:val="left"/>
            </w:pPr>
            <w:r>
              <w:rPr>
                <w:rFonts w:ascii="Liberation Sans" w:hAnsi="Liberation Sans"/>
                <w:b/>
                <w:bCs/>
                <w:color w:val="FFFFFF"/>
                <w:sz w:val="21"/>
                <w:szCs w:val="21"/>
              </w:rPr>
              <w:t xml:space="preserve">POLYVORTEX</w:t>
            </w:r>
          </w:p>
        </w:tc>
      </w:tr>
      <w:tr>
        <w:trPr>
          <w:cantSplit/>
          <w:tblHeader w:val="off"/>
        </w:trPr>
        <w:tc>
          <w:tcPr>
            <w:tcW w:type="pct" w:w="1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Program</w:t>
            </w:r>
          </w:p>
        </w:tc>
        <w:tc>
          <w:tcPr>
            <w:tcW w:type="pct" w:w="3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TRIVORTEX — the three-body (and N-body) problem in the vortex model</w:t>
            </w:r>
          </w:p>
        </w:tc>
      </w:tr>
      <w:tr>
        <w:trPr>
          <w:cantSplit/>
          <w:tblHeader w:val="off"/>
        </w:trPr>
        <w:tc>
          <w:tcPr>
            <w:tcW w:type="pct" w:w="1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Author</w:t>
            </w:r>
          </w:p>
        </w:tc>
        <w:tc>
          <w:tcPr>
            <w:tcW w:type="pct" w:w="3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Isaev Iskhak Khamzatovich (ORCID 0009-0003-7299-0701)</w:t>
            </w:r>
          </w:p>
        </w:tc>
      </w:tr>
      <w:tr>
        <w:trPr>
          <w:cantSplit/>
          <w:tblHeader w:val="off"/>
        </w:trPr>
        <w:tc>
          <w:tcPr>
            <w:tcW w:type="pct" w:w="1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DOI</w:t>
            </w:r>
          </w:p>
        </w:tc>
        <w:tc>
          <w:tcPr>
            <w:tcW w:type="pct" w:w="3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10.5281/zenodo.21825394</w:t>
            </w:r>
          </w:p>
        </w:tc>
      </w:tr>
      <w:tr>
        <w:trPr>
          <w:cantSplit/>
          <w:tblHeader w:val="off"/>
        </w:trPr>
        <w:tc>
          <w:tcPr>
            <w:tcW w:type="pct" w:w="1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Version</w:t>
            </w:r>
          </w:p>
        </w:tc>
        <w:tc>
          <w:tcPr>
            <w:tcW w:type="pct" w:w="3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1.1.0 — the theorem monograph edition</w:t>
            </w:r>
          </w:p>
        </w:tc>
      </w:tr>
      <w:tr>
        <w:trPr>
          <w:cantSplit/>
          <w:tblHeader w:val="off"/>
        </w:trPr>
        <w:tc>
          <w:tcPr>
            <w:tcW w:type="pct" w:w="1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Date</w:t>
            </w:r>
          </w:p>
        </w:tc>
        <w:tc>
          <w:tcPr>
            <w:tcW w:type="pct" w:w="3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2026-10-08</w:t>
            </w:r>
          </w:p>
        </w:tc>
      </w:tr>
      <w:tr>
        <w:trPr>
          <w:cantSplit/>
          <w:tblHeader w:val="off"/>
        </w:trPr>
        <w:tc>
          <w:tcPr>
            <w:tcW w:type="pct" w:w="1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Code</w:t>
            </w:r>
          </w:p>
        </w:tc>
        <w:tc>
          <w:tcPr>
            <w:tcW w:type="pct" w:w="3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polyvortex/python/polyvortex/ (model · ansatz · classical · ladder · runner · figures)</w:t>
            </w:r>
          </w:p>
        </w:tc>
      </w:tr>
      <w:tr>
        <w:trPr>
          <w:cantSplit/>
          <w:tblHeader w:val="off"/>
        </w:trPr>
        <w:tc>
          <w:tcPr>
            <w:tcW w:type="pct" w:w="1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Data</w:t>
            </w:r>
          </w:p>
        </w:tc>
        <w:tc>
          <w:tcPr>
            <w:tcW w:type="pct" w:w="3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polyvortex/results/protocols/W1..W7_default.json</w:t>
            </w:r>
          </w:p>
        </w:tc>
      </w:tr>
      <w:tr>
        <w:trPr>
          <w:cantSplit/>
          <w:tblHeader w:val="off"/>
        </w:trPr>
        <w:tc>
          <w:tcPr>
            <w:tcW w:type="pct" w:w="1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License</w:t>
            </w:r>
          </w:p>
        </w:tc>
        <w:tc>
          <w:tcPr>
            <w:tcW w:type="pct" w:w="3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LicenseRef-Proprietary-Wild8Highlander-1.0</w:t>
            </w:r>
          </w:p>
        </w:tc>
      </w:tr>
    </w:tbl>
    <w:p>
      <w:pPr>
        <w:pageBreakBefore/>
        <w:spacing w:after="240" w:before="200" w:line="400" w:lineRule="atLeast"/>
        <w:jc w:val="center"/>
      </w:pPr>
      <w:r>
        <w:rPr>
          <w:rFonts w:ascii="Liberation Sans" w:hAnsi="Liberation Sans"/>
          <w:b/>
          <w:bCs/>
          <w:color w:val="4F81BD"/>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"1-2"</w:instrText>
          </w:r>
          <w:r>
            <w:fldChar w:fldCharType="separate"/>
          </w:r>
          <w:hyperlink w:history="1" w:anchor="_Toc89">
            <w:r>
              <w:t xml:space="preserve">Abstract</w:t>
            </w:r>
            <w:r>
              <w:tab/>
            </w:r>
            <w:r>
              <w:fldChar w:fldCharType="begin" w:dirty="true"/>
              <w:instrText xml:space="preserve">PAGEREF _Toc89 \h</w:instrText>
              <w:fldChar w:fldCharType="separate"/>
              <w:fldChar w:fldCharType="end"/>
            </w:r>
          </w:hyperlink>
        </w:p>
        <w:p>
          <w:pPr>
            <w:pStyle w:val="9"/>
            <w:tabs>
              <w:tab w:val="right" w:leader="dot" w:pos="9026"/>
            </w:tabs>
            <w:spacing w:before="120" w:after="60"/>
          </w:pPr>
          <w:r>
            <w:t>Abstract</w:t>
          </w:r>
          <w:r>
            <w:tab/>
          </w:r>
          <w:r>
            <w:t>1</w:t>
          </w:r>
        </w:p>
        <w:p>
          <w:pPr>
            <w:pStyle w:val="9"/>
            <w:tabs>
              <w:tab w:val="right" w:leader="dot" w:pos="9026"/>
            </w:tabs>
            <w:spacing w:before="120" w:after="60"/>
          </w:pPr>
          <w:r>
            <w:t>At a glance</w:t>
          </w:r>
          <w:r>
            <w:tab/>
          </w:r>
          <w:r>
            <w:t>1</w:t>
          </w:r>
        </w:p>
        <w:p>
          <w:pPr>
            <w:pStyle w:val="9"/>
            <w:tabs>
              <w:tab w:val="right" w:leader="dot" w:pos="9026"/>
            </w:tabs>
            <w:spacing w:before="120" w:after="60"/>
          </w:pPr>
          <w:r>
            <w:t>1. Introduction and setting</w:t>
          </w:r>
          <w:r>
            <w:tab/>
          </w:r>
          <w:r>
            <w:t>1</w:t>
          </w:r>
        </w:p>
        <w:p>
          <w:pPr>
            <w:pStyle w:val="9"/>
            <w:tabs>
              <w:tab w:val="right" w:leader="dot" w:pos="9026"/>
            </w:tabs>
            <w:spacing w:before="120" w:after="60"/>
          </w:pPr>
          <w:r>
            <w:t>2. Statement and proof</w:t>
          </w:r>
          <w:r>
            <w:tab/>
          </w:r>
          <w:r>
            <w:t>2</w:t>
          </w:r>
        </w:p>
        <w:p>
          <w:pPr>
            <w:pStyle w:val="9"/>
            <w:tabs>
              <w:tab w:val="right" w:leader="dot" w:pos="9026"/>
            </w:tabs>
            <w:spacing w:before="120" w:after="60"/>
          </w:pPr>
          <w:r>
            <w:t>3. Numerical certification and the D1 rule</w:t>
          </w:r>
          <w:r>
            <w:tab/>
          </w:r>
          <w:r>
            <w:t>2</w:t>
          </w:r>
        </w:p>
        <w:p>
          <w:pPr>
            <w:pStyle w:val="9"/>
            <w:tabs>
              <w:tab w:val="right" w:leader="dot" w:pos="9026"/>
            </w:tabs>
            <w:spacing w:before="120" w:after="60"/>
          </w:pPr>
          <w:r>
            <w:t>4. Discussion: what D1 is and is not</w:t>
          </w:r>
          <w:r>
            <w:tab/>
          </w:r>
          <w:r>
            <w:t>3</w:t>
          </w:r>
        </w:p>
        <w:p>
          <w:pPr>
            <w:pStyle w:val="9"/>
            <w:tabs>
              <w:tab w:val="right" w:leader="dot" w:pos="9026"/>
            </w:tabs>
            <w:spacing w:before="120" w:after="60"/>
          </w:pPr>
          <w:r>
            <w:t>5. Relation to the formalization roadmap</w:t>
          </w:r>
          <w:r>
            <w:tab/>
          </w:r>
          <w:r>
            <w:t>3</w:t>
          </w:r>
        </w:p>
        <w:p>
          <w:pPr>
            <w:pStyle w:val="9"/>
            <w:tabs>
              <w:tab w:val="right" w:leader="dot" w:pos="9026"/>
            </w:tabs>
            <w:spacing w:before="120" w:after="60"/>
          </w:pPr>
          <w:r>
            <w:t>References</w:t>
          </w:r>
          <w:r>
            <w:tab/>
          </w:r>
          <w:r>
            <w:t>4</w:t>
          </w:r>
        </w:p>
        <w:p>
          <w:r>
            <w:fldChar w:fldCharType="end"/>
          </w:r>
        </w:p>
      </w:sdtContent>
    </w:sdt>
    <w:p>
      <w:pPr>
        <w:spacing w:before="200" w:line="276"/>
        <w:sectPr>
          <w:footerReference w:type="default" r:id="rId6"/>
          <w:pgSz w:w="11906" w:h="16838" w:orient="portrait"/>
          <w:pgMar w:top="1440" w:right="1417" w:bottom="1440" w:left="1701" w:header="850" w:footer="992" w:gutter="0"/>
          <w:docGrid w:linePitch="360"/>
        </w:sectPr>
      </w:pPr>
      <w:r>
        <w:rPr>
          <w:rFonts w:ascii="Liberation Serif" w:hAnsi="Liberation Serif"/>
          <w:i/>
          <w:iCs/>
          <w:color w:val="888888"/>
          <w:sz w:val="18"/>
          <w:szCs w:val="18"/>
        </w:rPr>
        <w:t xml:space="preserve">Note: this Table of Contents is generated via field codes. After editing, right-click the TOC and select "Update Field" to refresh the page numbers.</w:t>
      </w:r>
    </w:p>
    <w:p>
      <w:pPr>
        <w:pStyle w:val="Heading1"/>
        <w:keepNext/>
        <w:spacing w:after="160" w:before="400" w:line="312"/>
      </w:pPr>
      <w:bookmarkStart w:name="_Toc89" w:id="89"/>
      <w:r>
        <w:rPr>
          <w:rFonts w:ascii="Liberation Sans" w:hAnsi="Liberation Sans"/>
          <w:b/>
          <w:bCs/>
          <w:color w:val="4F81BD"/>
          <w:sz w:val="32"/>
          <w:szCs w:val="32"/>
        </w:rPr>
        <w:t xml:space="preserve">Abstract</w:t>
      </w:r>
      <w:bookmarkEnd w:id="89"/>
    </w:p>
    <w:p>
      <w:pPr>
        <w:spacing w:after="120" w:line="312"/>
        <w:jc w:val="both"/>
      </w:pPr>
      <w:r>
        <w:rPr>
          <w:rFonts w:ascii="Liberation Serif" w:hAnsi="Liberation Serif"/>
          <w:color w:val="1A2433"/>
          <w:sz w:val="24"/>
          <w:szCs w:val="24"/>
        </w:rPr>
        <w:t xml:space="preserve">If the free pulsation of the </w:t>
      </w:r>
      <w:r>
        <w:rPr>
          <w:rFonts w:ascii="Liberation Serif" w:hAnsi="Liberation Serif"/>
          <w:i w:val="false"/>
          <w:iCs w:val="false"/>
          <w:color w:val="1A2433"/>
          <w:sz w:val="24"/>
          <w:szCs w:val="24"/>
        </w:rPr>
        <w:t xml:space="preserve">N</w:t>
      </w:r>
      <w:r>
        <w:rPr>
          <w:rFonts w:ascii="Liberation Serif" w:hAnsi="Liberation Serif"/>
          <w:color w:val="1A2433"/>
          <w:sz w:val="24"/>
          <w:szCs w:val="24"/>
        </w:rPr>
        <w:t xml:space="preserve">-gon is dynamically obstructed (Lemma C), the next natural question is the averaged compatibility: at what rate would the "instantaneous kinematics" of a pulsating ring rotate over a full modulation cycle? The answer is exact and independent of the modulation rate: for </w:t>
      </w:r>
      <w:r>
        <w:rPr>
          <w:rFonts w:ascii="Liberation Serif" w:hAnsi="Liberation Serif"/>
          <w:i w:val="false"/>
          <w:iCs w:val="false"/>
          <w:color w:val="1A2433"/>
          <w:sz w:val="24"/>
          <w:szCs w:val="24"/>
        </w:rPr>
        <w:t xml:space="preserve">r(t) = R(1 + εcosω t)</w:t>
      </w:r>
      <w:r>
        <w:rPr>
          <w:rFonts w:ascii="Liberation Serif" w:hAnsi="Liberation Serif"/>
          <w:color w:val="1A2433"/>
          <w:sz w:val="24"/>
          <w:szCs w:val="24"/>
        </w:rPr>
        <w:t xml:space="preserve"> with </w:t>
      </w:r>
      <w:r>
        <w:rPr>
          <w:rFonts w:ascii="Liberation Serif" w:hAnsi="Liberation Serif"/>
          <w:i w:val="false"/>
          <w:iCs w:val="false"/>
          <w:color w:val="1A2433"/>
          <w:sz w:val="24"/>
          <w:szCs w:val="24"/>
        </w:rPr>
        <w:t xml:space="preserve">|ε| &lt; 1</w:t>
      </w:r>
      <w:r>
        <w:rPr>
          <w:rFonts w:ascii="Liberation Serif" w:hAnsi="Liberation Serif"/>
          <w:color w:val="1A2433"/>
          <w:sz w:val="24"/>
          <w:szCs w:val="24"/>
        </w:rPr>
        <w:t xml:space="preserve"> the cycle-averaged Kirchhoff rate equals </w:t>
      </w:r>
      <w:r>
        <w:rPr>
          <w:rFonts w:ascii="Liberation Serif" w:hAnsi="Liberation Serif"/>
          <w:i w:val="false"/>
          <w:iCs w:val="false"/>
          <w:color w:val="1A2433"/>
          <w:sz w:val="24"/>
          <w:szCs w:val="24"/>
        </w:rPr>
        <w:t xml:space="preserve">⟨ωₖᵢₙ⟩ = ω_N (1-ε²)^(-3/2)</w:t>
      </w:r>
      <w:r>
        <w:rPr>
          <w:rFonts w:ascii="Liberation Serif" w:hAnsi="Liberation Serif"/>
          <w:color w:val="1A2433"/>
          <w:sz w:val="24"/>
          <w:szCs w:val="24"/>
        </w:rPr>
        <w:t xml:space="preserve"> with </w:t>
      </w:r>
      <w:r>
        <w:rPr>
          <w:rFonts w:ascii="Liberation Serif" w:hAnsi="Liberation Serif"/>
          <w:i w:val="false"/>
          <w:iCs w:val="false"/>
          <w:color w:val="1A2433"/>
          <w:sz w:val="24"/>
          <w:szCs w:val="24"/>
        </w:rPr>
        <w:t xml:space="preserve">ω_N = Γ(N-1)/(4π R²)</w:t>
      </w:r>
      <w:r>
        <w:rPr>
          <w:rFonts w:ascii="Liberation Serif" w:hAnsi="Liberation Serif"/>
          <w:color w:val="1A2433"/>
          <w:sz w:val="24"/>
          <w:szCs w:val="24"/>
        </w:rPr>
        <w:t xml:space="preserve">; the proof is the substitution </w:t>
      </w:r>
      <w:r>
        <w:rPr>
          <w:rFonts w:ascii="Liberation Serif" w:hAnsi="Liberation Serif"/>
          <w:i w:val="false"/>
          <w:iCs w:val="false"/>
          <w:color w:val="1A2433"/>
          <w:sz w:val="24"/>
          <w:szCs w:val="24"/>
        </w:rPr>
        <w:t xml:space="preserve">φ = ω t</w:t>
      </w:r>
      <w:r>
        <w:rPr>
          <w:rFonts w:ascii="Liberation Serif" w:hAnsi="Liberation Serif"/>
          <w:color w:val="1A2433"/>
          <w:sz w:val="24"/>
          <w:szCs w:val="24"/>
        </w:rPr>
        <w:t xml:space="preserve"> and the differentiated Poisson integral </w:t>
      </w:r>
      <w:r>
        <w:rPr>
          <w:rFonts w:ascii="Liberation Serif" w:hAnsi="Liberation Serif"/>
          <w:i w:val="false"/>
          <w:iCs w:val="false"/>
          <w:color w:val="1A2433"/>
          <w:sz w:val="24"/>
          <w:szCs w:val="24"/>
        </w:rPr>
        <w:t xml:space="preserve">(1/2π)∫₀^(2π)(dφ)/((a+bcosφ)²) = (a)/((a²-b²)^(3/2))</w:t>
      </w:r>
      <w:r>
        <w:rPr>
          <w:rFonts w:ascii="Liberation Serif" w:hAnsi="Liberation Serif"/>
          <w:color w:val="1A2433"/>
          <w:sz w:val="24"/>
          <w:szCs w:val="24"/>
        </w:rPr>
        <w:t xml:space="preserve">. Certification by stage W7: the identity to a maximum relative error of </w:t>
      </w:r>
      <w:r>
        <w:rPr>
          <w:rFonts w:ascii="Liberation Serif" w:hAnsi="Liberation Serif"/>
          <w:i w:val="false"/>
          <w:iCs w:val="false"/>
          <w:color w:val="1A2433"/>
          <w:sz w:val="24"/>
          <w:szCs w:val="24"/>
        </w:rPr>
        <w:t xml:space="preserve">2.9· 10⁻¹⁵</w:t>
      </w:r>
      <w:r>
        <w:rPr>
          <w:rFonts w:ascii="Liberation Serif" w:hAnsi="Liberation Serif"/>
          <w:color w:val="1A2433"/>
          <w:sz w:val="24"/>
          <w:szCs w:val="24"/>
        </w:rPr>
        <w:t xml:space="preserve"> (Gauss–Legendre quadrature, 160 nodes), the bridge register over </w:t>
      </w:r>
      <w:r>
        <w:rPr>
          <w:rFonts w:ascii="Liberation Serif" w:hAnsi="Liberation Serif"/>
          <w:i w:val="false"/>
          <w:iCs w:val="false"/>
          <w:color w:val="1A2433"/>
          <w:sz w:val="24"/>
          <w:szCs w:val="24"/>
        </w:rPr>
        <w:t xml:space="preserve">(N, ε) ∈ {2..8}×{0.2, 0.5, 0.8}</w:t>
      </w:r>
      <w:r>
        <w:rPr>
          <w:rFonts w:ascii="Liberation Serif" w:hAnsi="Liberation Serif"/>
          <w:color w:val="1A2433"/>
          <w:sz w:val="24"/>
          <w:szCs w:val="24"/>
        </w:rPr>
        <w:t xml:space="preserve"> — </w:t>
      </w:r>
      <w:r>
        <w:rPr>
          <w:rFonts w:ascii="Liberation Serif" w:hAnsi="Liberation Serif"/>
          <w:i w:val="false"/>
          <w:iCs w:val="false"/>
          <w:color w:val="1A2433"/>
          <w:sz w:val="24"/>
          <w:szCs w:val="24"/>
        </w:rPr>
        <w:t xml:space="preserve">3.5· 10⁻¹⁵</w:t>
      </w:r>
      <w:r>
        <w:rPr>
          <w:rFonts w:ascii="Liberation Serif" w:hAnsi="Liberation Serif"/>
          <w:color w:val="1A2433"/>
          <w:sz w:val="24"/>
          <w:szCs w:val="24"/>
        </w:rPr>
        <w:t xml:space="preserve">. The applied output is the design rule D1: the exact compatibility period </w:t>
      </w:r>
      <w:r>
        <w:rPr>
          <w:rFonts w:ascii="Liberation Serif" w:hAnsi="Liberation Serif"/>
          <w:i w:val="false"/>
          <w:iCs w:val="false"/>
          <w:color w:val="1A2433"/>
          <w:sz w:val="24"/>
          <w:szCs w:val="24"/>
        </w:rPr>
        <w:t xml:space="preserve">T_comp(N, C_Ch) = 2π e^(C_Ch/π) 4π C_Ch(1-ε²)^(3/2)/(Γ(N-1))</w:t>
      </w:r>
      <w:r>
        <w:rPr>
          <w:rFonts w:ascii="Liberation Serif" w:hAnsi="Liberation Serif"/>
          <w:color w:val="1A2433"/>
          <w:sz w:val="24"/>
          <w:szCs w:val="24"/>
        </w:rPr>
        <w:t xml:space="preserve"> at which the Theorem-3.1 frequency law meets the averaged kinematics (table self-consistency </w:t>
      </w:r>
      <w:r>
        <w:rPr>
          <w:rFonts w:ascii="Liberation Serif" w:hAnsi="Liberation Serif"/>
          <w:i w:val="false"/>
          <w:iCs w:val="false"/>
          <w:color w:val="1A2433"/>
          <w:sz w:val="24"/>
          <w:szCs w:val="24"/>
        </w:rPr>
        <w:t xml:space="preserve">3.5· 10⁻¹⁶</w:t>
      </w:r>
      <w:r>
        <w:rPr>
          <w:rFonts w:ascii="Liberation Serif" w:hAnsi="Liberation Serif"/>
          <w:color w:val="1A2433"/>
          <w:sz w:val="24"/>
          <w:szCs w:val="24"/>
        </w:rPr>
        <w:t xml:space="preserve">). What D1 is (a constraint for a driven construction) and is not (not a claim about free Layer-K orbits) is stated separately.</w:t>
      </w:r>
    </w:p>
    <w:p>
      <w:pPr>
        <w:pStyle w:val="Heading1"/>
        <w:keepNext/>
        <w:spacing w:after="160" w:before="400" w:line="312"/>
      </w:pPr>
      <w:bookmarkStart w:name="_Toc90" w:id="90"/>
      <w:r>
        <w:rPr>
          <w:rFonts w:ascii="Liberation Sans" w:hAnsi="Liberation Sans"/>
          <w:b/>
          <w:bCs/>
          <w:color w:val="4F81BD"/>
          <w:sz w:val="32"/>
          <w:szCs w:val="32"/>
        </w:rPr>
        <w:t xml:space="preserve">At a glance</w:t>
      </w:r>
      <w:bookmarkEnd w:id="90"/>
    </w:p>
    <w:tbl>
      <w:tblPr>
        <w:tblW w:type="pct" w:w="5000"/>
        <w:tblBorders>
          <w:top w:val="single" w:color="0A1A3A" w:sz="4"/>
          <w:left w:val="none"/>
          <w:bottom w:val="single" w:color="0A1A3A" w:sz="4"/>
          <w:right w:val="none"/>
          <w:insideH w:val="single" w:color="C9D2E3" w:sz="1"/>
          <w:insideV w:val="none"/>
        </w:tblBorders>
      </w:tblPr>
      <w:tblGrid>
        <w:gridCol w:w="2988"/>
        <w:gridCol w:w="5800"/>
      </w:tblGrid>
      <w:tr>
        <w:trPr>
          <w:cantSplit/>
          <w:tblHeader/>
        </w:trPr>
        <w:tc>
          <w:tcPr>
            <w:tcW w:type="pct" w:w="1700"/>
            <w:shd w:fill="0A1A3A" w:val="clear"/>
            <w:tcMar>
              <w:top w:type="dxa" w:w="70"/>
              <w:left w:type="dxa" w:w="120"/>
              <w:bottom w:type="dxa" w:w="70"/>
              <w:right w:type="dxa" w:w="120"/>
            </w:tcMar>
          </w:tcPr>
          <w:p>
            <w:pPr>
              <w:spacing w:line="276"/>
              <w:jc w:val="left"/>
            </w:pPr>
            <w:r>
              <w:rPr>
                <w:rFonts w:ascii="Liberation Sans" w:hAnsi="Liberation Sans"/>
                <w:b/>
                <w:bCs/>
                <w:color w:val="FFFFFF"/>
                <w:sz w:val="21"/>
                <w:szCs w:val="21"/>
              </w:rPr>
              <w:t xml:space="preserve">Model</w:t>
            </w:r>
          </w:p>
        </w:tc>
        <w:tc>
          <w:tcPr>
            <w:tcW w:type="pct" w:w="3300"/>
            <w:shd w:fill="0A1A3A" w:val="clear"/>
            <w:tcMar>
              <w:top w:type="dxa" w:w="70"/>
              <w:left w:type="dxa" w:w="120"/>
              <w:bottom w:type="dxa" w:w="70"/>
              <w:right w:type="dxa" w:w="120"/>
            </w:tcMar>
          </w:tcPr>
          <w:p>
            <w:pPr>
              <w:spacing w:line="276"/>
              <w:jc w:val="left"/>
            </w:pPr>
            <w:r>
              <w:rPr>
                <w:rFonts w:ascii="Liberation Sans" w:hAnsi="Liberation Sans"/>
                <w:b/>
                <w:bCs/>
                <w:color w:val="FFFFFF"/>
                <w:sz w:val="21"/>
                <w:szCs w:val="21"/>
              </w:rPr>
              <w:t xml:space="preserve">the averaged kinematics of a pulsating ring (Layer K)</w:t>
            </w:r>
          </w:p>
        </w:tc>
      </w:tr>
      <w:tr>
        <w:trPr>
          <w:cantSplit/>
          <w:tblHeader w:val="off"/>
        </w:trPr>
        <w:tc>
          <w:tcPr>
            <w:tcW w:type="pct" w:w="17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Headline result</w:t>
            </w:r>
          </w:p>
        </w:tc>
        <w:tc>
          <w:tcPr>
            <w:tcW w:type="pct" w:w="3300"/>
            <w:shd w:fill="FFFFFF" w:val="clear"/>
            <w:tcMar>
              <w:top w:type="dxa" w:w="70"/>
              <w:left w:type="dxa" w:w="120"/>
              <w:bottom w:type="dxa" w:w="70"/>
              <w:right w:type="dxa" w:w="120"/>
            </w:tcMar>
          </w:tcPr>
          <w:p>
            <w:pPr>
              <w:spacing w:line="276"/>
              <w:jc w:val="left"/>
            </w:pPr>
            <w:r>
              <w:rPr>
                <w:rFonts w:ascii="Liberation Serif" w:hAnsi="Liberation Serif"/>
                <w:i w:val="false"/>
                <w:iCs w:val="false"/>
                <w:color w:val="1A2433"/>
                <w:sz w:val="21"/>
                <w:szCs w:val="21"/>
              </w:rPr>
              <w:t xml:space="preserve">⟨ωₖᵢₙ⟩ = ω_N (1-ε²)^(-3/2)</w:t>
            </w:r>
            <w:r>
              <w:rPr>
                <w:rFonts w:ascii="Liberation Serif" w:hAnsi="Liberation Serif"/>
                <w:color w:val="1A2433"/>
                <w:sz w:val="21"/>
                <w:szCs w:val="21"/>
              </w:rPr>
              <w:t xml:space="preserve">, independent of </w:t>
            </w:r>
            <w:r>
              <w:rPr>
                <w:rFonts w:ascii="Liberation Serif" w:hAnsi="Liberation Serif"/>
                <w:i w:val="false"/>
                <w:iCs w:val="false"/>
                <w:color w:val="1A2433"/>
                <w:sz w:val="21"/>
                <w:szCs w:val="21"/>
              </w:rPr>
              <w:t xml:space="preserve">ω</w:t>
            </w:r>
          </w:p>
        </w:tc>
      </w:tr>
      <w:tr>
        <w:trPr>
          <w:cantSplit/>
          <w:tblHeader w:val="off"/>
        </w:trPr>
        <w:tc>
          <w:tcPr>
            <w:tcW w:type="pct" w:w="17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Verification</w:t>
            </w:r>
          </w:p>
        </w:tc>
        <w:tc>
          <w:tcPr>
            <w:tcW w:type="pct" w:w="33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stage W7: identity </w:t>
            </w:r>
            <w:r>
              <w:rPr>
                <w:rFonts w:ascii="Liberation Serif" w:hAnsi="Liberation Serif"/>
                <w:i w:val="false"/>
                <w:iCs w:val="false"/>
                <w:color w:val="1A2433"/>
                <w:sz w:val="21"/>
                <w:szCs w:val="21"/>
              </w:rPr>
              <w:t xml:space="preserve">2.9e-15</w:t>
            </w:r>
            <w:r>
              <w:rPr>
                <w:rFonts w:ascii="Liberation Serif" w:hAnsi="Liberation Serif"/>
                <w:color w:val="1A2433"/>
                <w:sz w:val="21"/>
                <w:szCs w:val="21"/>
              </w:rPr>
              <w:t xml:space="preserve">, bridge </w:t>
            </w:r>
            <w:r>
              <w:rPr>
                <w:rFonts w:ascii="Liberation Serif" w:hAnsi="Liberation Serif"/>
                <w:i w:val="false"/>
                <w:iCs w:val="false"/>
                <w:color w:val="1A2433"/>
                <w:sz w:val="21"/>
                <w:szCs w:val="21"/>
              </w:rPr>
              <w:t xml:space="preserve">3.5e-15</w:t>
            </w:r>
            <w:r>
              <w:rPr>
                <w:rFonts w:ascii="Liberation Serif" w:hAnsi="Liberation Serif"/>
                <w:color w:val="1A2433"/>
                <w:sz w:val="21"/>
                <w:szCs w:val="21"/>
              </w:rPr>
              <w:t xml:space="preserve">, </w:t>
            </w:r>
            <w:r>
              <w:rPr>
                <w:rFonts w:ascii="Liberation Serif" w:hAnsi="Liberation Serif"/>
                <w:i w:val="false"/>
                <w:iCs w:val="false"/>
                <w:color w:val="1A2433"/>
                <w:sz w:val="21"/>
                <w:szCs w:val="21"/>
              </w:rPr>
              <w:t xml:space="preserve">T_comp</w:t>
            </w:r>
            <w:r>
              <w:rPr>
                <w:rFonts w:ascii="Liberation Serif" w:hAnsi="Liberation Serif"/>
                <w:color w:val="1A2433"/>
                <w:sz w:val="21"/>
                <w:szCs w:val="21"/>
              </w:rPr>
              <w:t xml:space="preserve"> </w:t>
            </w:r>
            <w:r>
              <w:rPr>
                <w:rFonts w:ascii="Liberation Serif" w:hAnsi="Liberation Serif"/>
                <w:i w:val="false"/>
                <w:iCs w:val="false"/>
                <w:color w:val="1A2433"/>
                <w:sz w:val="21"/>
                <w:szCs w:val="21"/>
              </w:rPr>
              <w:t xml:space="preserve">3.5e-16</w:t>
            </w:r>
          </w:p>
        </w:tc>
      </w:tr>
      <w:tr>
        <w:trPr>
          <w:cantSplit/>
          <w:tblHeader w:val="off"/>
        </w:trPr>
        <w:tc>
          <w:tcPr>
            <w:tcW w:type="pct" w:w="17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Applied output</w:t>
            </w:r>
          </w:p>
        </w:tc>
        <w:tc>
          <w:tcPr>
            <w:tcW w:type="pct" w:w="33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the design rule D1: the table </w:t>
            </w:r>
            <w:r>
              <w:rPr>
                <w:rFonts w:ascii="Liberation Serif" w:hAnsi="Liberation Serif"/>
                <w:i w:val="false"/>
                <w:iCs w:val="false"/>
                <w:color w:val="1A2433"/>
                <w:sz w:val="21"/>
                <w:szCs w:val="21"/>
              </w:rPr>
              <w:t xml:space="preserve">T_comp(N, C_Ch)</w:t>
            </w:r>
          </w:p>
        </w:tc>
      </w:tr>
      <w:tr>
        <w:trPr>
          <w:cantSplit/>
          <w:tblHeader w:val="off"/>
        </w:trPr>
        <w:tc>
          <w:tcPr>
            <w:tcW w:type="pct" w:w="17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Formalization queue</w:t>
            </w:r>
          </w:p>
        </w:tc>
        <w:tc>
          <w:tcPr>
            <w:tcW w:type="pct" w:w="33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TB3 — the Poisson integral (Mathlib) or an interval certificate</w:t>
            </w:r>
          </w:p>
        </w:tc>
      </w:tr>
    </w:tbl>
    <w:p>
      <w:pPr>
        <w:spacing w:after="120"/>
      </w:pPr>
    </w:p>
    <w:p>
      <w:pPr>
        <w:pStyle w:val="Heading1"/>
        <w:keepNext/>
        <w:spacing w:after="160" w:before="400" w:line="312"/>
      </w:pPr>
      <w:bookmarkStart w:name="_Toc91" w:id="91"/>
      <w:r>
        <w:rPr>
          <w:rFonts w:ascii="Liberation Sans" w:hAnsi="Liberation Sans"/>
          <w:b/>
          <w:bCs/>
          <w:color w:val="4F81BD"/>
          <w:sz w:val="32"/>
          <w:szCs w:val="32"/>
        </w:rPr>
        <w:t xml:space="preserve">1. Introduction and setting</w:t>
      </w:r>
      <w:bookmarkEnd w:id="91"/>
    </w:p>
    <w:p>
      <w:pPr>
        <w:spacing w:after="120" w:line="312"/>
        <w:jc w:val="both"/>
      </w:pPr>
      <w:r>
        <w:rPr>
          <w:rFonts w:ascii="Liberation Serif" w:hAnsi="Liberation Serif"/>
          <w:color w:val="1A2433"/>
          <w:sz w:val="24"/>
          <w:szCs w:val="24"/>
        </w:rPr>
        <w:t xml:space="preserve">Lemma C closes the free pulsation: the Kirchhoff dynamics carries no symmetrically pulsating ring for any </w:t>
      </w:r>
      <w:r>
        <w:rPr>
          <w:rFonts w:ascii="Liberation Serif" w:hAnsi="Liberation Serif"/>
          <w:i w:val="false"/>
          <w:iCs w:val="false"/>
          <w:color w:val="1A2433"/>
          <w:sz w:val="24"/>
          <w:szCs w:val="24"/>
        </w:rPr>
        <w:t xml:space="preserve">N</w:t>
      </w:r>
      <w:r>
        <w:rPr>
          <w:rFonts w:ascii="Liberation Serif" w:hAnsi="Liberation Serif"/>
          <w:color w:val="1A2433"/>
          <w:sz w:val="24"/>
          <w:szCs w:val="24"/>
        </w:rPr>
        <w:t xml:space="preserve">. But between "forbidden as a free orbit" and "meaningless altogether" lies a wide gap. For driven or gauge-coupled variants of the model (external shape keeping, forced modulation) the natural characteristic is the cycle-averaged kinematic rate: at what frequency would the configuration rotate on average if at every instant its angular velocity were given by the instantaneous Kirchhoff rule </w:t>
      </w:r>
      <w:r>
        <w:rPr>
          <w:rFonts w:ascii="Liberation Serif" w:hAnsi="Liberation Serif"/>
          <w:i w:val="false"/>
          <w:iCs w:val="false"/>
          <w:color w:val="1A2433"/>
          <w:sz w:val="24"/>
          <w:szCs w:val="24"/>
        </w:rPr>
        <w:t xml:space="preserve">Γ(N-1)/(4π r(t)²)</w:t>
      </w:r>
      <w:r>
        <w:rPr>
          <w:rFonts w:ascii="Liberation Serif" w:hAnsi="Liberation Serif"/>
          <w:color w:val="1A2433"/>
          <w:sz w:val="24"/>
          <w:szCs w:val="24"/>
        </w:rPr>
        <w:t xml:space="preserve">? Lemma D answers exactly and surprisingly smoothly — the average does not depend on the modulation rate.</w:t>
      </w:r>
    </w:p>
    <w:p>
      <w:pPr>
        <w:pStyle w:val="Heading1"/>
        <w:keepNext/>
        <w:spacing w:after="160" w:before="400" w:line="312"/>
      </w:pPr>
      <w:bookmarkStart w:name="_Toc92" w:id="92"/>
      <w:r>
        <w:rPr>
          <w:rFonts w:ascii="Liberation Sans" w:hAnsi="Liberation Sans"/>
          <w:b/>
          <w:bCs/>
          <w:color w:val="4F81BD"/>
          <w:sz w:val="32"/>
          <w:szCs w:val="32"/>
        </w:rPr>
        <w:t xml:space="preserve">2. Statement and proof</w:t>
      </w:r>
      <w:bookmarkEnd w:id="92"/>
    </w:p>
    <w:p>
      <w:pPr>
        <w:spacing w:after="120" w:line="312"/>
        <w:jc w:val="both"/>
      </w:pPr>
      <w:r>
        <w:rPr>
          <w:rFonts w:ascii="Liberation Serif" w:hAnsi="Liberation Serif"/>
          <w:b/>
          <w:bCs/>
          <w:color w:val="1A2433"/>
          <w:sz w:val="24"/>
          <w:szCs w:val="24"/>
        </w:rPr>
        <w:t xml:space="preserve">Lemma D (averaged frequency).</w:t>
      </w:r>
      <w:r>
        <w:rPr>
          <w:rFonts w:ascii="Liberation Serif" w:hAnsi="Liberation Serif"/>
          <w:color w:val="1A2433"/>
          <w:sz w:val="24"/>
          <w:szCs w:val="24"/>
        </w:rPr>
        <w:t xml:space="preserve"> </w:t>
      </w:r>
      <w:r>
        <w:rPr>
          <w:rFonts w:ascii="Liberation Serif" w:hAnsi="Liberation Serif"/>
          <w:i/>
          <w:iCs/>
          <w:color w:val="1A2433"/>
          <w:sz w:val="24"/>
          <w:szCs w:val="24"/>
        </w:rPr>
        <w:t xml:space="preserve">For the symmetric pulsation </w:t>
      </w:r>
      <w:r>
        <w:rPr>
          <w:rFonts w:ascii="Liberation Serif" w:hAnsi="Liberation Serif"/>
          <w:i w:val="false"/>
          <w:iCs w:val="false"/>
          <w:color w:val="1A2433"/>
          <w:sz w:val="24"/>
          <w:szCs w:val="24"/>
        </w:rPr>
        <w:t xml:space="preserve">r(t) = R(1 + εcosω t)</w:t>
      </w:r>
      <w:r>
        <w:rPr>
          <w:rFonts w:ascii="Liberation Serif" w:hAnsi="Liberation Serif"/>
          <w:i/>
          <w:iCs/>
          <w:color w:val="1A2433"/>
          <w:sz w:val="24"/>
          <w:szCs w:val="24"/>
        </w:rPr>
        <w:t xml:space="preserve"> with </w:t>
      </w:r>
      <w:r>
        <w:rPr>
          <w:rFonts w:ascii="Liberation Serif" w:hAnsi="Liberation Serif"/>
          <w:i w:val="false"/>
          <w:iCs w:val="false"/>
          <w:color w:val="1A2433"/>
          <w:sz w:val="24"/>
          <w:szCs w:val="24"/>
        </w:rPr>
        <w:t xml:space="preserve">|ε| &lt; 1</w:t>
      </w:r>
      <w:r>
        <w:rPr>
          <w:rFonts w:ascii="Liberation Serif" w:hAnsi="Liberation Serif"/>
          <w:i/>
          <w:iCs/>
          <w:color w:val="1A2433"/>
          <w:sz w:val="24"/>
          <w:szCs w:val="24"/>
        </w:rPr>
        <w:t xml:space="preserve"> the cycle-averaged Kirchhoff rate</w:t>
      </w:r>
    </w:p>
    <w:p>
      <w:pPr>
        <w:spacing w:after="140" w:before="140"/>
        <w:jc w:val="center"/>
      </w:pPr>
      <w:r>
        <w:drawing>
          <wp:inline distT="0" distB="0" distL="0" distR="0">
            <wp:extent cx="3924300" cy="466725"/>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24300" cy="466725"/>
                    </a:xfrm>
                    <a:prstGeom prst="rect">
                      <a:avLst/>
                    </a:prstGeom>
                  </pic:spPr>
                </pic:pic>
              </a:graphicData>
            </a:graphic>
          </wp:inline>
        </w:drawing>
      </w:r>
    </w:p>
    <w:p>
      <w:pPr>
        <w:spacing w:after="120" w:line="312"/>
        <w:jc w:val="both"/>
      </w:pPr>
      <w:r>
        <w:rPr>
          <w:rFonts w:ascii="Liberation Serif" w:hAnsi="Liberation Serif"/>
          <w:i/>
          <w:iCs/>
          <w:color w:val="1A2433"/>
          <w:sz w:val="24"/>
          <w:szCs w:val="24"/>
        </w:rPr>
        <w:t xml:space="preserve">is independent of the modulation frequency </w:t>
      </w:r>
      <w:r>
        <w:rPr>
          <w:rFonts w:ascii="Liberation Serif" w:hAnsi="Liberation Serif"/>
          <w:i w:val="false"/>
          <w:iCs w:val="false"/>
          <w:color w:val="1A2433"/>
          <w:sz w:val="24"/>
          <w:szCs w:val="24"/>
        </w:rPr>
        <w:t xml:space="preserve">ω</w:t>
      </w:r>
      <w:r>
        <w:rPr>
          <w:rFonts w:ascii="Liberation Serif" w:hAnsi="Liberation Serif"/>
          <w:i/>
          <w:iCs/>
          <w:color w:val="1A2433"/>
          <w:sz w:val="24"/>
          <w:szCs w:val="24"/>
        </w:rPr>
        <w:t xml:space="preserve">.</w:t>
      </w:r>
    </w:p>
    <w:p>
      <w:pPr>
        <w:spacing w:after="120" w:line="312"/>
        <w:jc w:val="both"/>
      </w:pPr>
      <w:r>
        <w:rPr>
          <w:rFonts w:ascii="Liberation Serif" w:hAnsi="Liberation Serif"/>
          <w:i/>
          <w:iCs/>
          <w:color w:val="1A2433"/>
          <w:sz w:val="24"/>
          <w:szCs w:val="24"/>
        </w:rPr>
        <w:t xml:space="preserve">Proof.</w:t>
      </w:r>
      <w:r>
        <w:rPr>
          <w:rFonts w:ascii="Liberation Serif" w:hAnsi="Liberation Serif"/>
          <w:color w:val="1A2433"/>
          <w:sz w:val="24"/>
          <w:szCs w:val="24"/>
        </w:rPr>
        <w:t xml:space="preserve"> The substitution </w:t>
      </w:r>
      <w:r>
        <w:rPr>
          <w:rFonts w:ascii="Liberation Serif" w:hAnsi="Liberation Serif"/>
          <w:i w:val="false"/>
          <w:iCs w:val="false"/>
          <w:color w:val="1A2433"/>
          <w:sz w:val="24"/>
          <w:szCs w:val="24"/>
        </w:rPr>
        <w:t xml:space="preserve">φ = ω t</w:t>
      </w:r>
      <w:r>
        <w:rPr>
          <w:rFonts w:ascii="Liberation Serif" w:hAnsi="Liberation Serif"/>
          <w:color w:val="1A2433"/>
          <w:sz w:val="24"/>
          <w:szCs w:val="24"/>
        </w:rPr>
        <w:t xml:space="preserve"> (with </w:t>
      </w:r>
      <w:r>
        <w:rPr>
          <w:rFonts w:ascii="Liberation Serif" w:hAnsi="Liberation Serif"/>
          <w:i w:val="false"/>
          <w:iCs w:val="false"/>
          <w:color w:val="1A2433"/>
          <w:sz w:val="24"/>
          <w:szCs w:val="24"/>
        </w:rPr>
        <w:t xml:space="preserve">Tᵣ = 2π/ω</w:t>
      </w:r>
      <w:r>
        <w:rPr>
          <w:rFonts w:ascii="Liberation Serif" w:hAnsi="Liberation Serif"/>
          <w:color w:val="1A2433"/>
          <w:sz w:val="24"/>
          <w:szCs w:val="24"/>
        </w:rPr>
        <w:t xml:space="preserve">) removes </w:t>
      </w:r>
      <w:r>
        <w:rPr>
          <w:rFonts w:ascii="Liberation Serif" w:hAnsi="Liberation Serif"/>
          <w:i w:val="false"/>
          <w:iCs w:val="false"/>
          <w:color w:val="1A2433"/>
          <w:sz w:val="24"/>
          <w:szCs w:val="24"/>
        </w:rPr>
        <w:t xml:space="preserve">ω</w:t>
      </w:r>
      <w:r>
        <w:rPr>
          <w:rFonts w:ascii="Liberation Serif" w:hAnsi="Liberation Serif"/>
          <w:color w:val="1A2433"/>
          <w:sz w:val="24"/>
          <w:szCs w:val="24"/>
        </w:rPr>
        <w:t xml:space="preserve"> and reduces the average to </w:t>
      </w:r>
      <w:r>
        <w:rPr>
          <w:rFonts w:ascii="Liberation Serif" w:hAnsi="Liberation Serif"/>
          <w:i w:val="false"/>
          <w:iCs w:val="false"/>
          <w:color w:val="1A2433"/>
          <w:sz w:val="24"/>
          <w:szCs w:val="24"/>
        </w:rPr>
        <w:t xml:space="preserve">(Γ(N-1))/(4π R²) (1/2π)∫₀^(2π)(dφ)/((1+εcosφ)²)</w:t>
      </w:r>
      <w:r>
        <w:rPr>
          <w:rFonts w:ascii="Liberation Serif" w:hAnsi="Liberation Serif"/>
          <w:color w:val="1A2433"/>
          <w:sz w:val="24"/>
          <w:szCs w:val="24"/>
        </w:rPr>
        <w:t xml:space="preserve">. The standard differentiated form of the Poisson integral</w:t>
      </w:r>
    </w:p>
    <w:p>
      <w:pPr>
        <w:spacing w:after="140" w:before="140"/>
        <w:jc w:val="center"/>
      </w:pPr>
      <w:r>
        <w:drawing>
          <wp:inline distT="0" distB="0" distL="0" distR="0">
            <wp:extent cx="2409825" cy="47625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09825" cy="476250"/>
                    </a:xfrm>
                    <a:prstGeom prst="rect">
                      <a:avLst/>
                    </a:prstGeom>
                  </pic:spPr>
                </pic:pic>
              </a:graphicData>
            </a:graphic>
          </wp:inline>
        </w:drawing>
      </w:r>
    </w:p>
    <w:p>
      <w:pPr>
        <w:spacing w:after="120" w:line="312"/>
        <w:jc w:val="both"/>
      </w:pPr>
      <w:r>
        <w:rPr>
          <w:rFonts w:ascii="Liberation Serif" w:hAnsi="Liberation Serif"/>
          <w:color w:val="1A2433"/>
          <w:sz w:val="24"/>
          <w:szCs w:val="24"/>
        </w:rPr>
        <w:t xml:space="preserve">at </w:t>
      </w:r>
      <w:r>
        <w:rPr>
          <w:rFonts w:ascii="Liberation Serif" w:hAnsi="Liberation Serif"/>
          <w:i w:val="false"/>
          <w:iCs w:val="false"/>
          <w:color w:val="1A2433"/>
          <w:sz w:val="24"/>
          <w:szCs w:val="24"/>
        </w:rPr>
        <w:t xml:space="preserve">a = 1</w:t>
      </w:r>
      <w:r>
        <w:rPr>
          <w:rFonts w:ascii="Liberation Serif" w:hAnsi="Liberation Serif"/>
          <w:color w:val="1A2433"/>
          <w:sz w:val="24"/>
          <w:szCs w:val="24"/>
        </w:rPr>
        <w:t xml:space="preserve">, </w:t>
      </w:r>
      <w:r>
        <w:rPr>
          <w:rFonts w:ascii="Liberation Serif" w:hAnsi="Liberation Serif"/>
          <w:i w:val="false"/>
          <w:iCs w:val="false"/>
          <w:color w:val="1A2433"/>
          <w:sz w:val="24"/>
          <w:szCs w:val="24"/>
        </w:rPr>
        <w:t xml:space="preserve">b = ε</w:t>
      </w:r>
      <w:r>
        <w:rPr>
          <w:rFonts w:ascii="Liberation Serif" w:hAnsi="Liberation Serif"/>
          <w:color w:val="1A2433"/>
          <w:sz w:val="24"/>
          <w:szCs w:val="24"/>
        </w:rPr>
        <w:t xml:space="preserve"> gives exactly </w:t>
      </w:r>
      <w:r>
        <w:rPr>
          <w:rFonts w:ascii="Liberation Serif" w:hAnsi="Liberation Serif"/>
          <w:i w:val="false"/>
          <w:iCs w:val="false"/>
          <w:color w:val="1A2433"/>
          <w:sz w:val="24"/>
          <w:szCs w:val="24"/>
        </w:rPr>
        <w:t xml:space="preserve">(1 - ε²)^(-3/2)</w:t>
      </w:r>
      <w:r>
        <w:rPr>
          <w:rFonts w:ascii="Liberation Serif" w:hAnsi="Liberation Serif"/>
          <w:color w:val="1A2433"/>
          <w:sz w:val="24"/>
          <w:szCs w:val="24"/>
        </w:rPr>
        <w:t xml:space="preserve">. </w:t>
      </w:r>
      <w:r>
        <w:rPr>
          <w:rFonts w:ascii="Liberation Serif" w:hAnsi="Liberation Serif"/>
          <w:i w:val="false"/>
          <w:iCs w:val="false"/>
          <w:color w:val="1A2433"/>
          <w:sz w:val="24"/>
          <w:szCs w:val="24"/>
        </w:rPr>
        <w:t xml:space="preserve">□</w:t>
      </w:r>
    </w:p>
    <w:p>
      <w:pPr>
        <w:spacing w:after="120" w:line="312"/>
        <w:jc w:val="both"/>
      </w:pPr>
      <w:r>
        <w:rPr>
          <w:rFonts w:ascii="Liberation Serif" w:hAnsi="Liberation Serif"/>
          <w:color w:val="1A2433"/>
          <w:sz w:val="24"/>
          <w:szCs w:val="24"/>
        </w:rPr>
        <w:t xml:space="preserve">Note the analytic structure in passing: the pole of the integrand nearest to the real axis sits at </w:t>
      </w:r>
      <w:r>
        <w:rPr>
          <w:rFonts w:ascii="Liberation Serif" w:hAnsi="Liberation Serif"/>
          <w:i w:val="false"/>
          <w:iCs w:val="false"/>
          <w:color w:val="1A2433"/>
          <w:sz w:val="24"/>
          <w:szCs w:val="24"/>
        </w:rPr>
        <w:t xml:space="preserve">Imφ = arccosh(1/ε)</w:t>
      </w:r>
      <w:r>
        <w:rPr>
          <w:rFonts w:ascii="Liberation Serif" w:hAnsi="Liberation Serif"/>
          <w:color w:val="1A2433"/>
          <w:sz w:val="24"/>
          <w:szCs w:val="24"/>
        </w:rPr>
        <w:t xml:space="preserve">, hence the spectral quadrature convergence; as </w:t>
      </w:r>
      <w:r>
        <w:rPr>
          <w:rFonts w:ascii="Liberation Serif" w:hAnsi="Liberation Serif"/>
          <w:i w:val="false"/>
          <w:iCs w:val="false"/>
          <w:color w:val="1A2433"/>
          <w:sz w:val="24"/>
          <w:szCs w:val="24"/>
        </w:rPr>
        <w:t xml:space="preserve">ε → 1⁻</w:t>
      </w:r>
      <w:r>
        <w:rPr>
          <w:rFonts w:ascii="Liberation Serif" w:hAnsi="Liberation Serif"/>
          <w:color w:val="1A2433"/>
          <w:sz w:val="24"/>
          <w:szCs w:val="24"/>
        </w:rPr>
        <w:t xml:space="preserve"> the averaged rate grows like </w:t>
      </w:r>
      <w:r>
        <w:rPr>
          <w:rFonts w:ascii="Liberation Serif" w:hAnsi="Liberation Serif"/>
          <w:i w:val="false"/>
          <w:iCs w:val="false"/>
          <w:color w:val="1A2433"/>
          <w:sz w:val="24"/>
          <w:szCs w:val="24"/>
        </w:rPr>
        <w:t xml:space="preserve">(1-ε²)^(-3/2)</w:t>
      </w:r>
      <w:r>
        <w:rPr>
          <w:rFonts w:ascii="Liberation Serif" w:hAnsi="Liberation Serif"/>
          <w:color w:val="1A2433"/>
          <w:sz w:val="24"/>
          <w:szCs w:val="24"/>
        </w:rPr>
        <w:t xml:space="preserve"> — the modulation sharply accelerates the mean rotation near the admissibility threshold of Theorem B.</w:t>
      </w:r>
    </w:p>
    <w:p>
      <w:pPr>
        <w:pStyle w:val="Heading1"/>
        <w:keepNext/>
        <w:spacing w:after="160" w:before="400" w:line="312"/>
      </w:pPr>
      <w:bookmarkStart w:name="_Toc93" w:id="93"/>
      <w:r>
        <w:rPr>
          <w:rFonts w:ascii="Liberation Sans" w:hAnsi="Liberation Sans"/>
          <w:b/>
          <w:bCs/>
          <w:color w:val="4F81BD"/>
          <w:sz w:val="32"/>
          <w:szCs w:val="32"/>
        </w:rPr>
        <w:t xml:space="preserve">3. Numerical certification and the D1 rule</w:t>
      </w:r>
      <w:bookmarkEnd w:id="93"/>
    </w:p>
    <w:p>
      <w:pPr>
        <w:spacing w:after="120" w:line="312"/>
        <w:jc w:val="both"/>
      </w:pPr>
      <w:r>
        <w:rPr>
          <w:rFonts w:ascii="Liberation Serif" w:hAnsi="Liberation Serif"/>
          <w:color w:val="1A2433"/>
          <w:sz w:val="24"/>
          <w:szCs w:val="24"/>
        </w:rPr>
        <w:t xml:space="preserve">Stage W7 certifies three registers. The identity: Gauss–Legendre quadrature at 160 nodes reproduces </w:t>
      </w:r>
      <w:r>
        <w:rPr>
          <w:rFonts w:ascii="Liberation Serif" w:hAnsi="Liberation Serif"/>
          <w:i w:val="false"/>
          <w:iCs w:val="false"/>
          <w:color w:val="1A2433"/>
          <w:sz w:val="24"/>
          <w:szCs w:val="24"/>
        </w:rPr>
        <w:t xml:space="preserve">(1-ε²)^(-3/2)</w:t>
      </w:r>
      <w:r>
        <w:rPr>
          <w:rFonts w:ascii="Liberation Serif" w:hAnsi="Liberation Serif"/>
          <w:color w:val="1A2433"/>
          <w:sz w:val="24"/>
          <w:szCs w:val="24"/>
        </w:rPr>
        <w:t xml:space="preserve"> with the maximum relative error </w:t>
      </w:r>
      <w:r>
        <w:rPr>
          <w:rFonts w:ascii="Liberation Serif" w:hAnsi="Liberation Serif"/>
          <w:i w:val="false"/>
          <w:iCs w:val="false"/>
          <w:color w:val="1A2433"/>
          <w:sz w:val="24"/>
          <w:szCs w:val="24"/>
        </w:rPr>
        <w:t xml:space="preserve">2.9· 10⁻¹⁵</w:t>
      </w:r>
      <w:r>
        <w:rPr>
          <w:rFonts w:ascii="Liberation Serif" w:hAnsi="Liberation Serif"/>
          <w:color w:val="1A2433"/>
          <w:sz w:val="24"/>
          <w:szCs w:val="24"/>
        </w:rPr>
        <w:t xml:space="preserve"> over </w:t>
      </w:r>
      <w:r>
        <w:rPr>
          <w:rFonts w:ascii="Liberation Serif" w:hAnsi="Liberation Serif"/>
          <w:i w:val="false"/>
          <w:iCs w:val="false"/>
          <w:color w:val="1A2433"/>
          <w:sz w:val="24"/>
          <w:szCs w:val="24"/>
        </w:rPr>
        <w:t xml:space="preserve">ε ∈ {0.1,…,0.9}</w:t>
      </w:r>
      <w:r>
        <w:rPr>
          <w:rFonts w:ascii="Liberation Serif" w:hAnsi="Liberation Serif"/>
          <w:color w:val="1A2433"/>
          <w:sz w:val="24"/>
          <w:szCs w:val="24"/>
        </w:rPr>
        <w:t xml:space="preserve">; at the 80 nodes of the quick preset the sharpest case </w:t>
      </w:r>
      <w:r>
        <w:rPr>
          <w:rFonts w:ascii="Liberation Serif" w:hAnsi="Liberation Serif"/>
          <w:i w:val="false"/>
          <w:iCs w:val="false"/>
          <w:color w:val="1A2433"/>
          <w:sz w:val="24"/>
          <w:szCs w:val="24"/>
        </w:rPr>
        <w:t xml:space="preserve">ε = 0.9</w:t>
      </w:r>
      <w:r>
        <w:rPr>
          <w:rFonts w:ascii="Liberation Serif" w:hAnsi="Liberation Serif"/>
          <w:color w:val="1A2433"/>
          <w:sz w:val="24"/>
          <w:szCs w:val="24"/>
        </w:rPr>
        <w:t xml:space="preserve"> retains </w:t>
      </w:r>
      <w:r>
        <w:rPr>
          <w:rFonts w:ascii="Liberation Serif" w:hAnsi="Liberation Serif"/>
          <w:i w:val="false"/>
          <w:iCs w:val="false"/>
          <w:color w:val="1A2433"/>
          <w:sz w:val="24"/>
          <w:szCs w:val="24"/>
        </w:rPr>
        <w:t xml:space="preserve">2· 10⁻⁹</w:t>
      </w:r>
      <w:r>
        <w:rPr>
          <w:rFonts w:ascii="Liberation Serif" w:hAnsi="Liberation Serif"/>
          <w:color w:val="1A2433"/>
          <w:sz w:val="24"/>
          <w:szCs w:val="24"/>
        </w:rPr>
        <w:t xml:space="preserve"> — a measured spectral convergence dropping six orders when the nodes double. The bridge: for </w:t>
      </w:r>
      <w:r>
        <w:rPr>
          <w:rFonts w:ascii="Liberation Serif" w:hAnsi="Liberation Serif"/>
          <w:i w:val="false"/>
          <w:iCs w:val="false"/>
          <w:color w:val="1A2433"/>
          <w:sz w:val="24"/>
          <w:szCs w:val="24"/>
        </w:rPr>
        <w:t xml:space="preserve">(N, ε) ∈ {2..8}×{0.2, 0.5, 0.8}</w:t>
      </w:r>
      <w:r>
        <w:rPr>
          <w:rFonts w:ascii="Liberation Serif" w:hAnsi="Liberation Serif"/>
          <w:color w:val="1A2433"/>
          <w:sz w:val="24"/>
          <w:szCs w:val="24"/>
        </w:rPr>
        <w:t xml:space="preserve"> the numeric average of the instantaneous rule matches the formula to </w:t>
      </w:r>
      <w:r>
        <w:rPr>
          <w:rFonts w:ascii="Liberation Serif" w:hAnsi="Liberation Serif"/>
          <w:i w:val="false"/>
          <w:iCs w:val="false"/>
          <w:color w:val="1A2433"/>
          <w:sz w:val="24"/>
          <w:szCs w:val="24"/>
        </w:rPr>
        <w:t xml:space="preserve">3.5· 10⁻¹⁵</w:t>
      </w:r>
      <w:r>
        <w:rPr>
          <w:rFonts w:ascii="Liberation Serif" w:hAnsi="Liberation Serif"/>
          <w:color w:val="1A2433"/>
          <w:sz w:val="24"/>
          <w:szCs w:val="24"/>
        </w:rPr>
        <w:t xml:space="preserve">.</w:t>
      </w:r>
    </w:p>
    <w:p>
      <w:pPr>
        <w:spacing w:after="120" w:line="312"/>
        <w:jc w:val="both"/>
      </w:pPr>
      <w:r>
        <w:rPr>
          <w:rFonts w:ascii="Liberation Serif" w:hAnsi="Liberation Serif"/>
          <w:color w:val="1A2433"/>
          <w:sz w:val="24"/>
          <w:szCs w:val="24"/>
        </w:rPr>
        <w:t xml:space="preserve">The applied output is the </w:t>
      </w:r>
      <w:r>
        <w:rPr>
          <w:rFonts w:ascii="Liberation Serif" w:hAnsi="Liberation Serif"/>
          <w:b/>
          <w:bCs/>
          <w:color w:val="1A2433"/>
          <w:sz w:val="24"/>
          <w:szCs w:val="24"/>
        </w:rPr>
        <w:t xml:space="preserve">design rule D1</w:t>
      </w:r>
      <w:r>
        <w:rPr>
          <w:rFonts w:ascii="Liberation Serif" w:hAnsi="Liberation Serif"/>
          <w:color w:val="1A2433"/>
          <w:sz w:val="24"/>
          <w:szCs w:val="24"/>
        </w:rPr>
        <w:t xml:space="preserve">. Equating the Theorem-3.1 frequency law </w:t>
      </w:r>
      <w:r>
        <w:rPr>
          <w:rFonts w:ascii="Liberation Serif" w:hAnsi="Liberation Serif"/>
          <w:i w:val="false"/>
          <w:iCs w:val="false"/>
          <w:color w:val="1A2433"/>
          <w:sz w:val="24"/>
          <w:szCs w:val="24"/>
        </w:rPr>
        <w:t xml:space="preserve">ω = (2π/T)e^(C_Ch/π)</w:t>
      </w:r>
      <w:r>
        <w:rPr>
          <w:rFonts w:ascii="Liberation Serif" w:hAnsi="Liberation Serif"/>
          <w:color w:val="1A2433"/>
          <w:sz w:val="24"/>
          <w:szCs w:val="24"/>
        </w:rPr>
        <w:t xml:space="preserve"> (with the mean radius </w:t>
      </w:r>
      <w:r>
        <w:rPr>
          <w:rFonts w:ascii="Liberation Serif" w:hAnsi="Liberation Serif"/>
          <w:i w:val="false"/>
          <w:iCs w:val="false"/>
          <w:color w:val="1A2433"/>
          <w:sz w:val="24"/>
          <w:szCs w:val="24"/>
        </w:rPr>
        <w:t xml:space="preserve">R² = C_Ch</w:t>
      </w:r>
      <w:r>
        <w:rPr>
          <w:rFonts w:ascii="Liberation Serif" w:hAnsi="Liberation Serif"/>
          <w:color w:val="1A2433"/>
          <w:sz w:val="24"/>
          <w:szCs w:val="24"/>
        </w:rPr>
        <w:t xml:space="preserve">) to the averaged kinematic rate yields the unique compatibility period</w:t>
      </w:r>
    </w:p>
    <w:p>
      <w:pPr>
        <w:spacing w:after="140" w:before="140"/>
        <w:jc w:val="center"/>
      </w:pPr>
      <w:r>
        <w:drawing>
          <wp:inline distT="0" distB="0" distL="0" distR="0">
            <wp:extent cx="4610100" cy="40005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10100" cy="400050"/>
                    </a:xfrm>
                    <a:prstGeom prst="rect">
                      <a:avLst/>
                    </a:prstGeom>
                  </pic:spPr>
                </pic:pic>
              </a:graphicData>
            </a:graphic>
          </wp:inline>
        </w:drawing>
      </w:r>
    </w:p>
    <w:p>
      <w:pPr>
        <w:spacing w:after="120" w:line="312"/>
        <w:jc w:val="both"/>
      </w:pPr>
      <w:r>
        <w:rPr>
          <w:rFonts w:ascii="Liberation Serif" w:hAnsi="Liberation Serif"/>
          <w:color w:val="1A2433"/>
          <w:sz w:val="24"/>
          <w:szCs w:val="24"/>
        </w:rPr>
        <w:t xml:space="preserve">whose self-consistency (substituting </w:t>
      </w:r>
      <w:r>
        <w:rPr>
          <w:rFonts w:ascii="Liberation Serif" w:hAnsi="Liberation Serif"/>
          <w:i w:val="false"/>
          <w:iCs w:val="false"/>
          <w:color w:val="1A2433"/>
          <w:sz w:val="24"/>
          <w:szCs w:val="24"/>
        </w:rPr>
        <w:t xml:space="preserve">T = T_comp</w:t>
      </w:r>
      <w:r>
        <w:rPr>
          <w:rFonts w:ascii="Liberation Serif" w:hAnsi="Liberation Serif"/>
          <w:color w:val="1A2433"/>
          <w:sz w:val="24"/>
          <w:szCs w:val="24"/>
        </w:rPr>
        <w:t xml:space="preserve"> back into the frequency law) is verified to </w:t>
      </w:r>
      <w:r>
        <w:rPr>
          <w:rFonts w:ascii="Liberation Serif" w:hAnsi="Liberation Serif"/>
          <w:i w:val="false"/>
          <w:iCs w:val="false"/>
          <w:color w:val="1A2433"/>
          <w:sz w:val="24"/>
          <w:szCs w:val="24"/>
        </w:rPr>
        <w:t xml:space="preserve">3.5· 10⁻¹⁶</w:t>
      </w:r>
      <w:r>
        <w:rPr>
          <w:rFonts w:ascii="Liberation Serif" w:hAnsi="Liberation Serif"/>
          <w:color w:val="1A2433"/>
          <w:sz w:val="24"/>
          <w:szCs w:val="24"/>
        </w:rPr>
        <w:t xml:space="preserve">. The table of the </w:t>
      </w:r>
      <w:r>
        <w:rPr>
          <w:rFonts w:ascii="Consolas" w:hAnsi="Consolas"/>
          <w:color w:val="1A2433"/>
          <w:sz w:val="22"/>
          <w:szCs w:val="22"/>
        </w:rPr>
        <w:t xml:space="preserve">W7_bridge_default.json</w:t>
      </w:r>
      <w:r>
        <w:rPr>
          <w:rFonts w:ascii="Liberation Serif" w:hAnsi="Liberation Serif"/>
          <w:color w:val="1A2433"/>
          <w:sz w:val="24"/>
          <w:szCs w:val="24"/>
        </w:rPr>
        <w:t xml:space="preserve"> protocol at </w:t>
      </w:r>
      <w:r>
        <w:rPr>
          <w:rFonts w:ascii="Liberation Serif" w:hAnsi="Liberation Serif"/>
          <w:i w:val="false"/>
          <w:iCs w:val="false"/>
          <w:color w:val="1A2433"/>
          <w:sz w:val="24"/>
          <w:szCs w:val="24"/>
        </w:rPr>
        <w:t xml:space="preserve">Γ = 1</w:t>
      </w:r>
      <w:r>
        <w:rPr>
          <w:rFonts w:ascii="Liberation Serif" w:hAnsi="Liberation Serif"/>
          <w:color w:val="1A2433"/>
          <w:sz w:val="24"/>
          <w:szCs w:val="24"/>
        </w:rPr>
        <w:t xml:space="preserve">:</w:t>
      </w:r>
    </w:p>
    <w:p>
      <w:pPr>
        <w:keepNext/>
        <w:spacing w:after="80" w:before="160" w:line="276"/>
      </w:pPr>
      <w:r>
        <w:rPr>
          <w:rFonts w:ascii="Liberation Sans" w:hAnsi="Liberation Sans"/>
          <w:b/>
          <w:bCs/>
          <w:color w:val="5A6472"/>
          <w:sz w:val="21"/>
          <w:szCs w:val="21"/>
        </w:rPr>
        <w:t xml:space="preserve">Table 1 — D1: the compatibility periods $T_{comp}(N, C_{Ch})$</w:t>
      </w:r>
    </w:p>
    <w:tbl>
      <w:tblPr>
        <w:tblW w:type="pct" w:w="5000"/>
        <w:tblBorders>
          <w:top w:val="single" w:color="0A1A3A" w:sz="4"/>
          <w:left w:val="none"/>
          <w:bottom w:val="single" w:color="0A1A3A" w:sz="4"/>
          <w:right w:val="none"/>
          <w:insideH w:val="single" w:color="C9D2E3" w:sz="1"/>
          <w:insideV w:val="none"/>
        </w:tblBorders>
      </w:tblPr>
      <w:tblGrid>
        <w:gridCol w:w="1230"/>
        <w:gridCol w:w="1230"/>
        <w:gridCol w:w="1230"/>
        <w:gridCol w:w="1230"/>
        <w:gridCol w:w="1230"/>
        <w:gridCol w:w="1230"/>
        <w:gridCol w:w="1230"/>
      </w:tblGrid>
      <w:tr>
        <w:trPr>
          <w:cantSplit/>
          <w:tblHeader/>
        </w:trPr>
        <w:tc>
          <w:tcPr>
            <w:tcW w:type="pct" w:w="700"/>
            <w:shd w:fill="0A1A3A" w:val="clear"/>
            <w:tcMar>
              <w:top w:type="dxa" w:w="70"/>
              <w:left w:type="dxa" w:w="120"/>
              <w:bottom w:type="dxa" w:w="70"/>
              <w:right w:type="dxa" w:w="120"/>
            </w:tcMar>
          </w:tcPr>
          <w:p>
            <w:pPr>
              <w:spacing w:line="276"/>
              <w:jc w:val="left"/>
            </w:pPr>
            <w:r>
              <w:rPr>
                <w:rFonts w:ascii="Liberation Sans" w:hAnsi="Liberation Sans"/>
                <w:b/>
                <w:bCs/>
                <w:i w:val="false"/>
                <w:iCs w:val="false"/>
                <w:color w:val="FFFFFF"/>
                <w:sz w:val="21"/>
                <w:szCs w:val="21"/>
              </w:rPr>
              <w:t xml:space="preserve">C_Ch</w:t>
            </w:r>
          </w:p>
        </w:tc>
        <w:tc>
          <w:tcPr>
            <w:tcW w:type="pct" w:w="700"/>
            <w:shd w:fill="0A1A3A" w:val="clear"/>
            <w:tcMar>
              <w:top w:type="dxa" w:w="70"/>
              <w:left w:type="dxa" w:w="120"/>
              <w:bottom w:type="dxa" w:w="70"/>
              <w:right w:type="dxa" w:w="120"/>
            </w:tcMar>
          </w:tcPr>
          <w:p>
            <w:pPr>
              <w:spacing w:line="276"/>
              <w:jc w:val="left"/>
            </w:pPr>
            <w:r>
              <w:rPr>
                <w:rFonts w:ascii="Liberation Sans" w:hAnsi="Liberation Sans"/>
                <w:b/>
                <w:bCs/>
                <w:i w:val="false"/>
                <w:iCs w:val="false"/>
                <w:color w:val="FFFFFF"/>
                <w:sz w:val="21"/>
                <w:szCs w:val="21"/>
              </w:rPr>
              <w:t xml:space="preserve">N=3</w:t>
            </w:r>
          </w:p>
        </w:tc>
        <w:tc>
          <w:tcPr>
            <w:tcW w:type="pct" w:w="700"/>
            <w:shd w:fill="0A1A3A" w:val="clear"/>
            <w:tcMar>
              <w:top w:type="dxa" w:w="70"/>
              <w:left w:type="dxa" w:w="120"/>
              <w:bottom w:type="dxa" w:w="70"/>
              <w:right w:type="dxa" w:w="120"/>
            </w:tcMar>
          </w:tcPr>
          <w:p>
            <w:pPr>
              <w:spacing w:line="276"/>
              <w:jc w:val="left"/>
            </w:pPr>
            <w:r>
              <w:rPr>
                <w:rFonts w:ascii="Liberation Sans" w:hAnsi="Liberation Sans"/>
                <w:b/>
                <w:bCs/>
                <w:i w:val="false"/>
                <w:iCs w:val="false"/>
                <w:color w:val="FFFFFF"/>
                <w:sz w:val="21"/>
                <w:szCs w:val="21"/>
              </w:rPr>
              <w:t xml:space="preserve">N=4</w:t>
            </w:r>
          </w:p>
        </w:tc>
        <w:tc>
          <w:tcPr>
            <w:tcW w:type="pct" w:w="700"/>
            <w:shd w:fill="0A1A3A" w:val="clear"/>
            <w:tcMar>
              <w:top w:type="dxa" w:w="70"/>
              <w:left w:type="dxa" w:w="120"/>
              <w:bottom w:type="dxa" w:w="70"/>
              <w:right w:type="dxa" w:w="120"/>
            </w:tcMar>
          </w:tcPr>
          <w:p>
            <w:pPr>
              <w:spacing w:line="276"/>
              <w:jc w:val="left"/>
            </w:pPr>
            <w:r>
              <w:rPr>
                <w:rFonts w:ascii="Liberation Sans" w:hAnsi="Liberation Sans"/>
                <w:b/>
                <w:bCs/>
                <w:i w:val="false"/>
                <w:iCs w:val="false"/>
                <w:color w:val="FFFFFF"/>
                <w:sz w:val="21"/>
                <w:szCs w:val="21"/>
              </w:rPr>
              <w:t xml:space="preserve">N=5</w:t>
            </w:r>
          </w:p>
        </w:tc>
        <w:tc>
          <w:tcPr>
            <w:tcW w:type="pct" w:w="700"/>
            <w:shd w:fill="0A1A3A" w:val="clear"/>
            <w:tcMar>
              <w:top w:type="dxa" w:w="70"/>
              <w:left w:type="dxa" w:w="120"/>
              <w:bottom w:type="dxa" w:w="70"/>
              <w:right w:type="dxa" w:w="120"/>
            </w:tcMar>
          </w:tcPr>
          <w:p>
            <w:pPr>
              <w:spacing w:line="276"/>
              <w:jc w:val="left"/>
            </w:pPr>
            <w:r>
              <w:rPr>
                <w:rFonts w:ascii="Liberation Sans" w:hAnsi="Liberation Sans"/>
                <w:b/>
                <w:bCs/>
                <w:i w:val="false"/>
                <w:iCs w:val="false"/>
                <w:color w:val="FFFFFF"/>
                <w:sz w:val="21"/>
                <w:szCs w:val="21"/>
              </w:rPr>
              <w:t xml:space="preserve">N=6</w:t>
            </w:r>
          </w:p>
        </w:tc>
        <w:tc>
          <w:tcPr>
            <w:tcW w:type="pct" w:w="700"/>
            <w:shd w:fill="0A1A3A" w:val="clear"/>
            <w:tcMar>
              <w:top w:type="dxa" w:w="70"/>
              <w:left w:type="dxa" w:w="120"/>
              <w:bottom w:type="dxa" w:w="70"/>
              <w:right w:type="dxa" w:w="120"/>
            </w:tcMar>
          </w:tcPr>
          <w:p>
            <w:pPr>
              <w:spacing w:line="276"/>
              <w:jc w:val="left"/>
            </w:pPr>
            <w:r>
              <w:rPr>
                <w:rFonts w:ascii="Liberation Sans" w:hAnsi="Liberation Sans"/>
                <w:b/>
                <w:bCs/>
                <w:i w:val="false"/>
                <w:iCs w:val="false"/>
                <w:color w:val="FFFFFF"/>
                <w:sz w:val="21"/>
                <w:szCs w:val="21"/>
              </w:rPr>
              <w:t xml:space="preserve">N=7</w:t>
            </w:r>
          </w:p>
        </w:tc>
        <w:tc>
          <w:tcPr>
            <w:tcW w:type="pct" w:w="700"/>
            <w:shd w:fill="0A1A3A" w:val="clear"/>
            <w:tcMar>
              <w:top w:type="dxa" w:w="70"/>
              <w:left w:type="dxa" w:w="120"/>
              <w:bottom w:type="dxa" w:w="70"/>
              <w:right w:type="dxa" w:w="120"/>
            </w:tcMar>
          </w:tcPr>
          <w:p>
            <w:pPr>
              <w:spacing w:line="276"/>
              <w:jc w:val="left"/>
            </w:pPr>
            <w:r>
              <w:rPr>
                <w:rFonts w:ascii="Liberation Sans" w:hAnsi="Liberation Sans"/>
                <w:b/>
                <w:bCs/>
                <w:i w:val="false"/>
                <w:iCs w:val="false"/>
                <w:color w:val="FFFFFF"/>
                <w:sz w:val="21"/>
                <w:szCs w:val="21"/>
              </w:rPr>
              <w:t xml:space="preserve">N=8</w:t>
            </w:r>
          </w:p>
        </w:tc>
      </w:tr>
      <w:tr>
        <w:trPr>
          <w:cantSplit/>
          <w:tblHeader w:val="off"/>
        </w:trPr>
        <w:tc>
          <w:tcPr>
            <w:tcW w:type="pct" w:w="7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3</w:t>
            </w:r>
          </w:p>
        </w:tc>
        <w:tc>
          <w:tcPr>
            <w:tcW w:type="pct" w:w="7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146.13</w:t>
            </w:r>
          </w:p>
        </w:tc>
        <w:tc>
          <w:tcPr>
            <w:tcW w:type="pct" w:w="7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97.42</w:t>
            </w:r>
          </w:p>
        </w:tc>
        <w:tc>
          <w:tcPr>
            <w:tcW w:type="pct" w:w="7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73.06</w:t>
            </w:r>
          </w:p>
        </w:tc>
        <w:tc>
          <w:tcPr>
            <w:tcW w:type="pct" w:w="7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58.45</w:t>
            </w:r>
          </w:p>
        </w:tc>
        <w:tc>
          <w:tcPr>
            <w:tcW w:type="pct" w:w="7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48.71</w:t>
            </w:r>
          </w:p>
        </w:tc>
        <w:tc>
          <w:tcPr>
            <w:tcW w:type="pct" w:w="7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41.75</w:t>
            </w:r>
          </w:p>
        </w:tc>
      </w:tr>
      <w:tr>
        <w:trPr>
          <w:cantSplit/>
          <w:tblHeader w:val="off"/>
        </w:trPr>
        <w:tc>
          <w:tcPr>
            <w:tcW w:type="pct" w:w="7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5</w:t>
            </w:r>
          </w:p>
        </w:tc>
        <w:tc>
          <w:tcPr>
            <w:tcW w:type="pct" w:w="7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875.98</w:t>
            </w:r>
          </w:p>
        </w:tc>
        <w:tc>
          <w:tcPr>
            <w:tcW w:type="pct" w:w="7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583.99</w:t>
            </w:r>
          </w:p>
        </w:tc>
        <w:tc>
          <w:tcPr>
            <w:tcW w:type="pct" w:w="7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437.99</w:t>
            </w:r>
          </w:p>
        </w:tc>
        <w:tc>
          <w:tcPr>
            <w:tcW w:type="pct" w:w="7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350.39</w:t>
            </w:r>
          </w:p>
        </w:tc>
        <w:tc>
          <w:tcPr>
            <w:tcW w:type="pct" w:w="7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291.99</w:t>
            </w:r>
          </w:p>
        </w:tc>
        <w:tc>
          <w:tcPr>
            <w:tcW w:type="pct" w:w="7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250.28</w:t>
            </w:r>
          </w:p>
        </w:tc>
      </w:tr>
      <w:tr>
        <w:trPr>
          <w:cantSplit/>
          <w:tblHeader w:val="off"/>
        </w:trPr>
        <w:tc>
          <w:tcPr>
            <w:tcW w:type="pct" w:w="7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10</w:t>
            </w:r>
          </w:p>
        </w:tc>
        <w:tc>
          <w:tcPr>
            <w:tcW w:type="pct" w:w="7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9496.0</w:t>
            </w:r>
          </w:p>
        </w:tc>
        <w:tc>
          <w:tcPr>
            <w:tcW w:type="pct" w:w="7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6330.7</w:t>
            </w:r>
          </w:p>
        </w:tc>
        <w:tc>
          <w:tcPr>
            <w:tcW w:type="pct" w:w="7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4748.0</w:t>
            </w:r>
          </w:p>
        </w:tc>
        <w:tc>
          <w:tcPr>
            <w:tcW w:type="pct" w:w="7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3798.4</w:t>
            </w:r>
          </w:p>
        </w:tc>
        <w:tc>
          <w:tcPr>
            <w:tcW w:type="pct" w:w="7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3165.3</w:t>
            </w:r>
          </w:p>
        </w:tc>
        <w:tc>
          <w:tcPr>
            <w:tcW w:type="pct" w:w="7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2713.2</w:t>
            </w:r>
          </w:p>
        </w:tc>
      </w:tr>
      <w:tr>
        <w:trPr>
          <w:cantSplit/>
          <w:tblHeader w:val="off"/>
        </w:trPr>
        <w:tc>
          <w:tcPr>
            <w:tcW w:type="pct" w:w="7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20</w:t>
            </w:r>
          </w:p>
        </w:tc>
        <w:tc>
          <w:tcPr>
            <w:tcW w:type="pct" w:w="7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459401.4</w:t>
            </w:r>
          </w:p>
        </w:tc>
        <w:tc>
          <w:tcPr>
            <w:tcW w:type="pct" w:w="7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306267.6</w:t>
            </w:r>
          </w:p>
        </w:tc>
        <w:tc>
          <w:tcPr>
            <w:tcW w:type="pct" w:w="7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229700.7</w:t>
            </w:r>
          </w:p>
        </w:tc>
        <w:tc>
          <w:tcPr>
            <w:tcW w:type="pct" w:w="7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183760.6</w:t>
            </w:r>
          </w:p>
        </w:tc>
        <w:tc>
          <w:tcPr>
            <w:tcW w:type="pct" w:w="7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153133.8</w:t>
            </w:r>
          </w:p>
        </w:tc>
        <w:tc>
          <w:tcPr>
            <w:tcW w:type="pct" w:w="7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131257.6</w:t>
            </w:r>
          </w:p>
        </w:tc>
      </w:tr>
    </w:tbl>
    <w:p>
      <w:pPr>
        <w:spacing w:after="120"/>
      </w:pPr>
    </w:p>
    <w:p>
      <w:pPr>
        <w:spacing w:after="60" w:before="200"/>
        <w:jc w:val="center"/>
      </w:pPr>
      <w:r>
        <w:drawing>
          <wp:inline distT="0" distB="0" distL="0" distR="0">
            <wp:extent cx="5524500" cy="232410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324100"/>
                    </a:xfrm>
                    <a:prstGeom prst="rect">
                      <a:avLst/>
                    </a:prstGeom>
                  </pic:spPr>
                </pic:pic>
              </a:graphicData>
            </a:graphic>
          </wp:inline>
        </w:drawing>
      </w:r>
    </w:p>
    <w:p>
      <w:pPr>
        <w:spacing w:after="200" w:line="276"/>
        <w:jc w:val="center"/>
      </w:pPr>
      <w:r>
        <w:rPr>
          <w:rFonts w:ascii="Liberation Sans" w:hAnsi="Liberation Sans"/>
          <w:i/>
          <w:iCs/>
          <w:color w:val="5A6472"/>
          <w:sz w:val="20"/>
          <w:szCs w:val="20"/>
        </w:rPr>
        <w:t xml:space="preserve">Fig. 1 — Left: the amplitude law and the admissibility threshold (Theorem B). Right: the D1 compatibility periods $T_{comp}(N, C_{Ch})$ from the W7 protocol (log scale).</w:t>
      </w:r>
    </w:p>
    <w:p>
      <w:pPr>
        <w:pStyle w:val="Heading1"/>
        <w:keepNext/>
        <w:spacing w:after="160" w:before="400" w:line="312"/>
      </w:pPr>
      <w:bookmarkStart w:name="_Toc94" w:id="94"/>
      <w:r>
        <w:rPr>
          <w:rFonts w:ascii="Liberation Sans" w:hAnsi="Liberation Sans"/>
          <w:b/>
          <w:bCs/>
          <w:color w:val="4F81BD"/>
          <w:sz w:val="32"/>
          <w:szCs w:val="32"/>
        </w:rPr>
        <w:t xml:space="preserve">4. Discussion: what D1 is and is not</w:t>
      </w:r>
      <w:bookmarkEnd w:id="94"/>
    </w:p>
    <w:p>
      <w:pPr>
        <w:spacing w:after="120" w:line="312"/>
        <w:jc w:val="both"/>
      </w:pPr>
      <w:r>
        <w:rPr>
          <w:rFonts w:ascii="Liberation Serif" w:hAnsi="Liberation Serif"/>
          <w:color w:val="1A2433"/>
          <w:sz w:val="24"/>
          <w:szCs w:val="24"/>
        </w:rPr>
        <w:t xml:space="preserve">Two structural facts. First, </w:t>
      </w:r>
      <w:r>
        <w:rPr>
          <w:rFonts w:ascii="Liberation Serif" w:hAnsi="Liberation Serif"/>
          <w:i w:val="false"/>
          <w:iCs w:val="false"/>
          <w:color w:val="1A2433"/>
          <w:sz w:val="24"/>
          <w:szCs w:val="24"/>
        </w:rPr>
        <w:t xml:space="preserve">T_comp</w:t>
      </w:r>
      <w:r>
        <w:rPr>
          <w:rFonts w:ascii="Liberation Serif" w:hAnsi="Liberation Serif"/>
          <w:color w:val="1A2433"/>
          <w:sz w:val="24"/>
          <w:szCs w:val="24"/>
        </w:rPr>
        <w:t xml:space="preserve"> grows roughly like </w:t>
      </w:r>
      <w:r>
        <w:rPr>
          <w:rFonts w:ascii="Liberation Serif" w:hAnsi="Liberation Serif"/>
          <w:i w:val="false"/>
          <w:iCs w:val="false"/>
          <w:color w:val="1A2433"/>
          <w:sz w:val="24"/>
          <w:szCs w:val="24"/>
        </w:rPr>
        <w:t xml:space="preserve">e^(C_Ch/π) C_Ch</w:t>
      </w:r>
      <w:r>
        <w:rPr>
          <w:rFonts w:ascii="Liberation Serif" w:hAnsi="Liberation Serif"/>
          <w:color w:val="1A2433"/>
          <w:sz w:val="24"/>
          <w:szCs w:val="24"/>
        </w:rPr>
        <w:t xml:space="preserve"> — exponentially in the gauge constant — while the classical rate </w:t>
      </w:r>
      <w:r>
        <w:rPr>
          <w:rFonts w:ascii="Liberation Serif" w:hAnsi="Liberation Serif"/>
          <w:i w:val="false"/>
          <w:iCs w:val="false"/>
          <w:color w:val="1A2433"/>
          <w:sz w:val="24"/>
          <w:szCs w:val="24"/>
        </w:rPr>
        <w:t xml:space="preserve">ω_N</w:t>
      </w:r>
      <w:r>
        <w:rPr>
          <w:rFonts w:ascii="Liberation Serif" w:hAnsi="Liberation Serif"/>
          <w:color w:val="1A2433"/>
          <w:sz w:val="24"/>
          <w:szCs w:val="24"/>
        </w:rPr>
        <w:t xml:space="preserve"> decays only algebraically in </w:t>
      </w:r>
      <w:r>
        <w:rPr>
          <w:rFonts w:ascii="Liberation Serif" w:hAnsi="Liberation Serif"/>
          <w:i w:val="false"/>
          <w:iCs w:val="false"/>
          <w:color w:val="1A2433"/>
          <w:sz w:val="24"/>
          <w:szCs w:val="24"/>
        </w:rPr>
        <w:t xml:space="preserve">C_Ch</w:t>
      </w:r>
      <w:r>
        <w:rPr>
          <w:rFonts w:ascii="Liberation Serif" w:hAnsi="Liberation Serif"/>
          <w:color w:val="1A2433"/>
          <w:sz w:val="24"/>
          <w:szCs w:val="24"/>
        </w:rPr>
        <w:t xml:space="preserve">; the gauge law and the kinematics therefore agree only along a thin, explicitly computable curve, not on an open parameter set. Second, the registered parent pair </w:t>
      </w:r>
      <w:r>
        <w:rPr>
          <w:rFonts w:ascii="Liberation Serif" w:hAnsi="Liberation Serif"/>
          <w:i w:val="false"/>
          <w:iCs w:val="false"/>
          <w:color w:val="1A2433"/>
          <w:sz w:val="24"/>
          <w:szCs w:val="24"/>
        </w:rPr>
        <w:t xml:space="preserve">(C_Ch, T) = (1, 2π)</w:t>
      </w:r>
      <w:r>
        <w:rPr>
          <w:rFonts w:ascii="Liberation Serif" w:hAnsi="Liberation Serif"/>
          <w:color w:val="1A2433"/>
          <w:sz w:val="24"/>
          <w:szCs w:val="24"/>
        </w:rPr>
        <w:t xml:space="preserve"> lies entirely outside the admissible window (Theorem B), so no compatibility statement can be made for it without leaving the non-degenerate regime.</w:t>
      </w:r>
    </w:p>
    <w:p>
      <w:pPr>
        <w:spacing w:after="120" w:line="312"/>
        <w:jc w:val="both"/>
      </w:pPr>
      <w:r>
        <w:rPr>
          <w:rFonts w:ascii="Liberation Serif" w:hAnsi="Liberation Serif"/>
          <w:color w:val="1A2433"/>
          <w:sz w:val="24"/>
          <w:szCs w:val="24"/>
        </w:rPr>
        <w:t xml:space="preserve">The reading discipline: D1 is a design relation for a </w:t>
      </w:r>
      <w:r>
        <w:rPr>
          <w:rFonts w:ascii="Liberation Serif" w:hAnsi="Liberation Serif"/>
          <w:i/>
          <w:iCs/>
          <w:color w:val="1A2433"/>
          <w:sz w:val="24"/>
          <w:szCs w:val="24"/>
        </w:rPr>
        <w:t xml:space="preserve">driven</w:t>
      </w:r>
      <w:r>
        <w:rPr>
          <w:rFonts w:ascii="Liberation Serif" w:hAnsi="Liberation Serif"/>
          <w:color w:val="1A2433"/>
          <w:sz w:val="24"/>
          <w:szCs w:val="24"/>
        </w:rPr>
        <w:t xml:space="preserve"> construction. If one insists on a pulsating choreography whose modulation matches its own cycle-averaged kinematics, the constraint selects the period </w:t>
      </w:r>
      <w:r>
        <w:rPr>
          <w:rFonts w:ascii="Liberation Serif" w:hAnsi="Liberation Serif"/>
          <w:i w:val="false"/>
          <w:iCs w:val="false"/>
          <w:color w:val="1A2433"/>
          <w:sz w:val="24"/>
          <w:szCs w:val="24"/>
        </w:rPr>
        <w:t xml:space="preserve">T_comp</w:t>
      </w:r>
      <w:r>
        <w:rPr>
          <w:rFonts w:ascii="Liberation Serif" w:hAnsi="Liberation Serif"/>
          <w:color w:val="1A2433"/>
          <w:sz w:val="24"/>
          <w:szCs w:val="24"/>
        </w:rPr>
        <w:t xml:space="preserve"> exactly, and the table delivers it for any </w:t>
      </w:r>
      <w:r>
        <w:rPr>
          <w:rFonts w:ascii="Liberation Serif" w:hAnsi="Liberation Serif"/>
          <w:i w:val="false"/>
          <w:iCs w:val="false"/>
          <w:color w:val="1A2433"/>
          <w:sz w:val="24"/>
          <w:szCs w:val="24"/>
        </w:rPr>
        <w:t xml:space="preserve">(N, C_Ch)</w:t>
      </w:r>
      <w:r>
        <w:rPr>
          <w:rFonts w:ascii="Liberation Serif" w:hAnsi="Liberation Serif"/>
          <w:color w:val="1A2433"/>
          <w:sz w:val="24"/>
          <w:szCs w:val="24"/>
        </w:rPr>
        <w:t xml:space="preserve">. D1 is </w:t>
      </w:r>
      <w:r>
        <w:rPr>
          <w:rFonts w:ascii="Liberation Serif" w:hAnsi="Liberation Serif"/>
          <w:i/>
          <w:iCs/>
          <w:color w:val="1A2433"/>
          <w:sz w:val="24"/>
          <w:szCs w:val="24"/>
        </w:rPr>
        <w:t xml:space="preserve">not</w:t>
      </w:r>
      <w:r>
        <w:rPr>
          <w:rFonts w:ascii="Liberation Serif" w:hAnsi="Liberation Serif"/>
          <w:color w:val="1A2433"/>
          <w:sz w:val="24"/>
          <w:szCs w:val="24"/>
        </w:rPr>
        <w:t xml:space="preserve"> a claim that Layer K admits free pulsating orbits: Lemma C forbids that. The driven reading is the only consistent one and is flagged as such in the W7 protocol metadata.</w:t>
      </w:r>
    </w:p>
    <w:p>
      <w:pPr>
        <w:pStyle w:val="Heading1"/>
        <w:keepNext/>
        <w:spacing w:after="160" w:before="400" w:line="312"/>
      </w:pPr>
      <w:bookmarkStart w:name="_Toc95" w:id="95"/>
      <w:r>
        <w:rPr>
          <w:rFonts w:ascii="Liberation Sans" w:hAnsi="Liberation Sans"/>
          <w:b/>
          <w:bCs/>
          <w:color w:val="4F81BD"/>
          <w:sz w:val="32"/>
          <w:szCs w:val="32"/>
        </w:rPr>
        <w:t xml:space="preserve">5. Relation to the formalization roadmap</w:t>
      </w:r>
      <w:bookmarkEnd w:id="95"/>
    </w:p>
    <w:p>
      <w:pPr>
        <w:spacing w:after="120" w:line="312"/>
        <w:jc w:val="both"/>
      </w:pPr>
      <w:r>
        <w:rPr>
          <w:rFonts w:ascii="Liberation Serif" w:hAnsi="Liberation Serif"/>
          <w:color w:val="1A2433"/>
          <w:sz w:val="24"/>
          <w:szCs w:val="24"/>
        </w:rPr>
        <w:t xml:space="preserve">In the formalization queue Lemma D appears as item </w:t>
      </w:r>
      <w:r>
        <w:rPr>
          <w:rFonts w:ascii="Liberation Serif" w:hAnsi="Liberation Serif"/>
          <w:b/>
          <w:bCs/>
          <w:color w:val="1A2433"/>
          <w:sz w:val="24"/>
          <w:szCs w:val="24"/>
        </w:rPr>
        <w:t xml:space="preserve">TB3</w:t>
      </w:r>
      <w:r>
        <w:rPr>
          <w:rFonts w:ascii="Liberation Serif" w:hAnsi="Liberation Serif"/>
          <w:color w:val="1A2433"/>
          <w:sz w:val="24"/>
          <w:szCs w:val="24"/>
        </w:rPr>
        <w:t xml:space="preserve">. The formalization path: the differentiated Poisson integral — a standard Mathlib-style computation (parametric differentiation of </w:t>
      </w:r>
      <w:r>
        <w:rPr>
          <w:rFonts w:ascii="Liberation Serif" w:hAnsi="Liberation Serif"/>
          <w:i w:val="false"/>
          <w:iCs w:val="false"/>
          <w:color w:val="1A2433"/>
          <w:sz w:val="24"/>
          <w:szCs w:val="24"/>
        </w:rPr>
        <w:t xml:space="preserve">∫ dφ/(a + bcosφ)</w:t>
      </w:r>
      <w:r>
        <w:rPr>
          <w:rFonts w:ascii="Liberation Serif" w:hAnsi="Liberation Serif"/>
          <w:color w:val="1A2433"/>
          <w:sz w:val="24"/>
          <w:szCs w:val="24"/>
        </w:rPr>
        <w:t xml:space="preserve"> in </w:t>
      </w:r>
      <w:r>
        <w:rPr>
          <w:rFonts w:ascii="Liberation Serif" w:hAnsi="Liberation Serif"/>
          <w:i w:val="false"/>
          <w:iCs w:val="false"/>
          <w:color w:val="1A2433"/>
          <w:sz w:val="24"/>
          <w:szCs w:val="24"/>
        </w:rPr>
        <w:t xml:space="preserve">a</w:t>
      </w:r>
      <w:r>
        <w:rPr>
          <w:rFonts w:ascii="Liberation Serif" w:hAnsi="Liberation Serif"/>
          <w:color w:val="1A2433"/>
          <w:sz w:val="24"/>
          <w:szCs w:val="24"/>
        </w:rPr>
        <w:t xml:space="preserve">); an alternative numeric route is an interval-arithmetic certificate of the integral on </w:t>
      </w:r>
      <w:r>
        <w:rPr>
          <w:rFonts w:ascii="Liberation Serif" w:hAnsi="Liberation Serif"/>
          <w:i w:val="false"/>
          <w:iCs w:val="false"/>
          <w:color w:val="1A2433"/>
          <w:sz w:val="24"/>
          <w:szCs w:val="24"/>
        </w:rPr>
        <w:t xml:space="preserve">[-0.9, 0.9]</w:t>
      </w:r>
      <w:r>
        <w:rPr>
          <w:rFonts w:ascii="Liberation Serif" w:hAnsi="Liberation Serif"/>
          <w:color w:val="1A2433"/>
          <w:sz w:val="24"/>
          <w:szCs w:val="24"/>
        </w:rPr>
        <w:t xml:space="preserve"> with rational bounds. The lemma opens the T5 region of the parent: with it, the admissible region of the closed form receives not only its boundary (Theorem B) but also an internal metric of kinematic compatibility. The numeric protocol W7 is the reference oracle.</w:t>
      </w:r>
    </w:p>
    <w:p>
      <w:pPr>
        <w:pStyle w:val="Heading1"/>
        <w:keepNext/>
        <w:spacing w:after="160" w:before="400" w:line="312"/>
      </w:pPr>
      <w:bookmarkStart w:name="_Toc96" w:id="96"/>
      <w:r>
        <w:rPr>
          <w:rFonts w:ascii="Liberation Sans" w:hAnsi="Liberation Sans"/>
          <w:b/>
          <w:bCs/>
          <w:color w:val="4F81BD"/>
          <w:sz w:val="32"/>
          <w:szCs w:val="32"/>
        </w:rPr>
        <w:t xml:space="preserve">References</w:t>
      </w:r>
      <w:bookmarkEnd w:id="96"/>
    </w:p>
    <w:p>
      <w:pPr>
        <w:pStyle w:val="ListParagraph"/>
        <w:numPr>
          <w:ilvl w:val="0"/>
          <w:numId w:val="2"/>
        </w:numPr>
        <w:spacing w:after="80" w:line="312"/>
        <w:jc w:val="left"/>
      </w:pPr>
      <w:r>
        <w:rPr>
          <w:rFonts w:ascii="Liberation Serif" w:hAnsi="Liberation Serif"/>
          <w:color w:val="1A2433"/>
          <w:sz w:val="24"/>
          <w:szCs w:val="24"/>
        </w:rPr>
        <w:t xml:space="preserve">G. M. Fikhtengol'ts, Course of Differential and Integral Calculus, vol. II — parameter-dependent integrals.</w:t>
      </w:r>
    </w:p>
    <w:p>
      <w:pPr>
        <w:pStyle w:val="ListParagraph"/>
        <w:numPr>
          <w:ilvl w:val="0"/>
          <w:numId w:val="2"/>
        </w:numPr>
        <w:spacing w:after="80" w:line="312"/>
        <w:jc w:val="left"/>
      </w:pPr>
      <w:r>
        <w:rPr>
          <w:rFonts w:ascii="Liberation Serif" w:hAnsi="Liberation Serif"/>
          <w:color w:val="1A2433"/>
          <w:sz w:val="24"/>
          <w:szCs w:val="24"/>
        </w:rPr>
        <w:t xml:space="preserve">H. Aref, P. K. Newton, M. A. Stremler, T. Tokieda, D. L. Vainchtein, Vortex crystals, Advances in Applied Mechanics 39 (2003) 1–79.</w:t>
      </w:r>
    </w:p>
    <w:p>
      <w:pPr>
        <w:pStyle w:val="ListParagraph"/>
        <w:numPr>
          <w:ilvl w:val="0"/>
          <w:numId w:val="2"/>
        </w:numPr>
        <w:spacing w:after="80" w:line="312"/>
        <w:jc w:val="left"/>
      </w:pPr>
      <w:r>
        <w:rPr>
          <w:rFonts w:ascii="Liberation Serif" w:hAnsi="Liberation Serif"/>
          <w:color w:val="1A2433"/>
          <w:sz w:val="24"/>
          <w:szCs w:val="24"/>
        </w:rPr>
        <w:t xml:space="preserve">Mini-repository monograph: polyvortex/docs/monograph/monograph_EN.md, Section 7.</w:t>
      </w:r>
    </w:p>
    <w:sectPr>
      <w:footerReference w:type="default" r:id="rId7"/>
      <w:type w:val="nextPage"/>
      <w:pgSz w:w="11906" w:h="16838" w:orient="portrait"/>
      <w:pgMar w:top="1440" w:right="1417" w:bottom="1440" w:left="1701" w:header="850" w:footer="992"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3" w:sz="2" w:space="4"/>
      </w:pBdr>
      <w:jc w:val="center"/>
    </w:pPr>
    <w:r>
      <w:rPr>
        <w:rFonts w:ascii="Liberation Sans" w:hAnsi="Liberation Sans"/>
        <w:color w:val="5A6472"/>
        <w:sz w:val="18"/>
        <w:szCs w:val="18"/>
      </w:rPr>
      <w:t xml:space="preserve">TRIVORTEX Research Program · polyvortex v1.1.0 · </w:t>
    </w:r>
    <w:r>
      <w:rPr>
        <w:rFonts w:ascii="Liberation Sans" w:hAnsi="Liberation Sans"/>
        <w:color w:val="5A6472"/>
        <w:sz w:val="18"/>
        <w:szCs w:val="18"/>
      </w:rPr>
      <w:fldChar w:fldCharType="begin"/>
      <w:instrText xml:space="preserve">PAGE</w:instrText>
      <w:fldChar w:fldCharType="separate"/>
      <w:fldChar w:fldCharType="end"/>
    </w:r>
    <w:r>
      <w:rPr>
        <w:rFonts w:ascii="Liberation Sans" w:hAnsi="Liberation Sans"/>
        <w:color w:val="5A6472"/>
        <w:sz w:val="18"/>
        <w:szCs w:val="18"/>
      </w:rPr>
      <w:t xml:space="preserve"> / </w:t>
    </w:r>
    <w:r>
      <w:rPr>
        <w:rFonts w:ascii="Liberation Sans" w:hAnsi="Liberation Sans"/>
        <w:color w:val="5A6472"/>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3" w:sz="2" w:space="4"/>
      </w:pBdr>
      <w:jc w:val="center"/>
    </w:pPr>
    <w:r>
      <w:rPr>
        <w:rFonts w:ascii="Liberation Sans" w:hAnsi="Liberation Sans"/>
        <w:color w:val="5A6472"/>
        <w:sz w:val="18"/>
        <w:szCs w:val="18"/>
      </w:rPr>
      <w:t xml:space="preserve">TRIVORTEX Research Program · polyvortex v1.1.0 · </w:t>
    </w:r>
    <w:r>
      <w:rPr>
        <w:rFonts w:ascii="Liberation Sans" w:hAnsi="Liberation Sans"/>
        <w:color w:val="5A6472"/>
        <w:sz w:val="18"/>
        <w:szCs w:val="18"/>
      </w:rPr>
      <w:fldChar w:fldCharType="begin"/>
      <w:instrText xml:space="preserve"> PAGE \* arabic \* MERGEFORMAT </w:instrText>
      <w:fldChar w:fldCharType="separate"/>
      <w:fldChar w:fldCharType="end"/>
    </w:r>
    <w:r>
      <w:rPr>
        <w:rFonts w:ascii="Liberation Sans" w:hAnsi="Liberation Sans"/>
        <w:color w:val="5A6472"/>
        <w:sz w:val="18"/>
        <w:szCs w:val="18"/>
      </w:rPr>
      <w:t xml:space="preserve"> / </w:t>
    </w:r>
    <w:r>
      <w:rPr>
        <w:rFonts w:ascii="Liberation Sans" w:hAnsi="Liberation Sans"/>
        <w:color w:val="5A647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640" w:hanging="360"/>
      </w:pPr>
    </w:lvl>
  </w:abstractNum>
  <w:abstractNum w:abstractNumId="3" w15:restartNumberingAfterBreak="0">
    <w:multiLevelType w:val="hybridMultilevel"/>
    <w:lvl w:ilvl="0" w:tentative="1">
      <w:start w:val="1"/>
      <w:numFmt w:val="decimal"/>
      <w:lvlText w:val="%1."/>
      <w:lvlJc w:val="left"/>
      <w:pPr>
        <w:ind w:left="640" w:hanging="360"/>
      </w:pPr>
    </w:lvl>
  </w:abstractNum>
  <w:abstractNum w:abstractNumId="4" w15:restartNumberingAfterBreak="0">
    <w:multiLevelType w:val="hybridMultilevel"/>
    <w:lvl w:ilvl="0" w:tentative="1">
      <w:start w:val="1"/>
      <w:numFmt w:val="decimal"/>
      <w:lvlText w:val="%1."/>
      <w:lvlJc w:val="left"/>
      <w:pPr>
        <w:ind w:left="640" w:hanging="360"/>
      </w:pPr>
    </w:lvl>
  </w:abstractNum>
  <w:abstractNum w:abstractNumId="5" w15:restartNumberingAfterBreak="0">
    <w:multiLevelType w:val="hybridMultilevel"/>
    <w:lvl w:ilvl="0" w:tentative="1">
      <w:start w:val="1"/>
      <w:numFmt w:val="decimal"/>
      <w:lvlText w:val="%1."/>
      <w:lvlJc w:val="left"/>
      <w:pPr>
        <w:ind w:left="640" w:hanging="360"/>
      </w:pPr>
    </w:lvl>
  </w:abstractNum>
  <w:abstractNum w:abstractNumId="6" w15:restartNumberingAfterBreak="0">
    <w:multiLevelType w:val="hybridMultilevel"/>
    <w:lvl w:ilvl="0" w:tentative="1">
      <w:start w:val="1"/>
      <w:numFmt w:val="decimal"/>
      <w:lvlText w:val="%1."/>
      <w:lvlJc w:val="left"/>
      <w:pPr>
        <w:ind w:left="640" w:hanging="360"/>
      </w:pPr>
    </w:lvl>
  </w:abstractNum>
  <w:abstractNum w:abstractNumId="7" w15:restartNumberingAfterBreak="0">
    <w:multiLevelType w:val="hybridMultilevel"/>
    <w:lvl w:ilvl="0" w:tentative="1">
      <w:start w:val="1"/>
      <w:numFmt w:val="decimal"/>
      <w:lvlText w:val="%1."/>
      <w:lvlJc w:val="left"/>
      <w:pPr>
        <w:ind w:left="640" w:hanging="360"/>
      </w:pPr>
    </w:lvl>
  </w:abstractNum>
  <w:abstractNum w:abstractNumId="8" w15:restartNumberingAfterBreak="0">
    <w:multiLevelType w:val="hybridMultilevel"/>
    <w:lvl w:ilvl="0" w:tentative="1">
      <w:start w:val="1"/>
      <w:numFmt w:val="decimal"/>
      <w:lvlText w:val="%1."/>
      <w:lvlJc w:val="left"/>
      <w:pPr>
        <w:ind w:left="640" w:hanging="360"/>
      </w:pPr>
    </w:lvl>
  </w:abstractNum>
  <w:abstractNum w:abstractNumId="9" w15:restartNumberingAfterBreak="0">
    <w:multiLevelType w:val="hybridMultilevel"/>
    <w:lvl w:ilvl="0" w:tentative="1">
      <w:start w:val="1"/>
      <w:numFmt w:val="decimal"/>
      <w:lvlText w:val="%1."/>
      <w:lvlJc w:val="left"/>
      <w:pPr>
        <w:ind w:left="640" w:hanging="360"/>
      </w:pPr>
    </w:lvl>
  </w:abstractNum>
  <w:abstractNum w:abstractNumId="10" w15:restartNumberingAfterBreak="0">
    <w:multiLevelType w:val="hybridMultilevel"/>
    <w:lvl w:ilvl="0" w:tentative="1">
      <w:start w:val="1"/>
      <w:numFmt w:val="decimal"/>
      <w:lvlText w:val="%1."/>
      <w:lvlJc w:val="left"/>
      <w:pPr>
        <w:ind w:left="640" w:hanging="360"/>
      </w:pPr>
    </w:lvl>
  </w:abstractNum>
  <w:abstractNum w:abstractNumId="11" w15:restartNumberingAfterBreak="0">
    <w:multiLevelType w:val="hybridMultilevel"/>
    <w:lvl w:ilvl="0" w:tentative="1">
      <w:start w:val="1"/>
      <w:numFmt w:val="decimal"/>
      <w:lvlText w:val="%1."/>
      <w:lvlJc w:val="left"/>
      <w:pPr>
        <w:ind w:left="640" w:hanging="360"/>
      </w:pPr>
    </w:lvl>
  </w:abstractNum>
  <w:abstractNum w:abstractNumId="12" w15:restartNumberingAfterBreak="0">
    <w:multiLevelType w:val="hybridMultilevel"/>
    <w:lvl w:ilvl="0" w:tentative="1">
      <w:start w:val="1"/>
      <w:numFmt w:val="decimal"/>
      <w:lvlText w:val="%1."/>
      <w:lvlJc w:val="left"/>
      <w:pPr>
        <w:ind w:left="640" w:hanging="360"/>
      </w:pPr>
    </w:lvl>
  </w:abstractNum>
  <w:abstractNum w:abstractNumId="13" w15:restartNumberingAfterBreak="0">
    <w:multiLevelType w:val="hybridMultilevel"/>
    <w:lvl w:ilvl="0" w:tentative="1">
      <w:start w:val="1"/>
      <w:numFmt w:val="decimal"/>
      <w:lvlText w:val="%1."/>
      <w:lvlJc w:val="left"/>
      <w:pPr>
        <w:ind w:left="640" w:hanging="360"/>
      </w:pPr>
    </w:lvl>
  </w:abstractNum>
  <w:abstractNum w:abstractNumId="14" w15:restartNumberingAfterBreak="0">
    <w:multiLevelType w:val="hybridMultilevel"/>
    <w:lvl w:ilvl="0" w:tentative="1">
      <w:start w:val="1"/>
      <w:numFmt w:val="decimal"/>
      <w:lvlText w:val="%1."/>
      <w:lvlJc w:val="left"/>
      <w:pPr>
        <w:ind w:left="640" w:hanging="360"/>
      </w:pPr>
    </w:lvl>
  </w:abstractNum>
  <w:abstractNum w:abstractNumId="15" w15:restartNumberingAfterBreak="0">
    <w:multiLevelType w:val="hybridMultilevel"/>
    <w:lvl w:ilvl="0" w:tentative="1">
      <w:start w:val="1"/>
      <w:numFmt w:val="decimal"/>
      <w:lvlText w:val="%1."/>
      <w:lvlJc w:val="left"/>
      <w:pPr>
        <w:ind w:left="640" w:hanging="360"/>
      </w:pPr>
    </w:lvl>
  </w:abstractNum>
  <w:abstractNum w:abstractNumId="16" w15:restartNumberingAfterBreak="0">
    <w:multiLevelType w:val="hybridMultilevel"/>
    <w:lvl w:ilvl="0" w:tentative="1">
      <w:start w:val="1"/>
      <w:numFmt w:val="decimal"/>
      <w:lvlText w:val="%1."/>
      <w:lvlJc w:val="left"/>
      <w:pPr>
        <w:ind w:left="640" w:hanging="360"/>
      </w:pPr>
    </w:lvl>
  </w:abstractNum>
  <w:abstractNum w:abstractNumId="17" w15:restartNumberingAfterBreak="0">
    <w:multiLevelType w:val="hybridMultilevel"/>
    <w:lvl w:ilvl="0" w:tentative="1">
      <w:start w:val="1"/>
      <w:numFmt w:val="decimal"/>
      <w:lvlText w:val="%1."/>
      <w:lvlJc w:val="left"/>
      <w:pPr>
        <w:ind w:left="640" w:hanging="360"/>
      </w:pPr>
    </w:lvl>
  </w:abstractNum>
  <w:abstractNum w:abstractNumId="18" w15:restartNumberingAfterBreak="0">
    <w:multiLevelType w:val="hybridMultilevel"/>
    <w:lvl w:ilvl="0" w:tentative="1">
      <w:start w:val="1"/>
      <w:numFmt w:val="decimal"/>
      <w:lvlText w:val="%1."/>
      <w:lvlJc w:val="left"/>
      <w:pPr>
        <w:ind w:left="640" w:hanging="360"/>
      </w:pPr>
    </w:lvl>
  </w:abstractNum>
  <w:abstractNum w:abstractNumId="19" w15:restartNumberingAfterBreak="0">
    <w:multiLevelType w:val="hybridMultilevel"/>
    <w:lvl w:ilvl="0" w:tentative="1">
      <w:start w:val="1"/>
      <w:numFmt w:val="decimal"/>
      <w:lvlText w:val="%1."/>
      <w:lvlJc w:val="left"/>
      <w:pPr>
        <w:ind w:left="640" w:hanging="360"/>
      </w:pPr>
    </w:lvl>
  </w:abstractNum>
  <w:abstractNum w:abstractNumId="20" w15:restartNumberingAfterBreak="0">
    <w:multiLevelType w:val="hybridMultilevel"/>
    <w:lvl w:ilvl="0" w:tentative="1">
      <w:start w:val="1"/>
      <w:numFmt w:val="decimal"/>
      <w:lvlText w:val="%1."/>
      <w:lvlJc w:val="left"/>
      <w:pPr>
        <w:ind w:left="640" w:hanging="360"/>
      </w:pPr>
    </w:lvl>
  </w:abstractNum>
  <w:abstractNum w:abstractNumId="21" w15:restartNumberingAfterBreak="0">
    <w:multiLevelType w:val="hybridMultilevel"/>
    <w:lvl w:ilvl="0" w:tentative="1">
      <w:start w:val="1"/>
      <w:numFmt w:val="decimal"/>
      <w:lvlText w:val="%1."/>
      <w:lvlJc w:val="left"/>
      <w:pPr>
        <w:ind w:left="640" w:hanging="360"/>
      </w:pPr>
    </w:lvl>
  </w:abstractNum>
  <w:abstractNum w:abstractNumId="22" w15:restartNumberingAfterBreak="0">
    <w:multiLevelType w:val="hybridMultilevel"/>
    <w:lvl w:ilvl="0" w:tentative="1">
      <w:start w:val="1"/>
      <w:numFmt w:val="decimal"/>
      <w:lvlText w:val="%1."/>
      <w:lvlJc w:val="left"/>
      <w:pPr>
        <w:ind w:left="640" w:hanging="360"/>
      </w:pPr>
    </w:lvl>
  </w:abstractNum>
  <w:abstractNum w:abstractNumId="23" w15:restartNumberingAfterBreak="0">
    <w:multiLevelType w:val="hybridMultilevel"/>
    <w:lvl w:ilvl="0" w:tentative="1">
      <w:start w:val="1"/>
      <w:numFmt w:val="decimal"/>
      <w:lvlText w:val="%1."/>
      <w:lvlJc w:val="left"/>
      <w:pPr>
        <w:ind w:left="640" w:hanging="360"/>
      </w:pPr>
    </w:lvl>
  </w:abstractNum>
  <w:abstractNum w:abstractNumId="24" w15:restartNumberingAfterBreak="0">
    <w:multiLevelType w:val="hybridMultilevel"/>
    <w:lvl w:ilvl="0" w:tentative="1">
      <w:start w:val="1"/>
      <w:numFmt w:val="decimal"/>
      <w:lvlText w:val="%1."/>
      <w:lvlJc w:val="left"/>
      <w:pPr>
        <w:ind w:left="640" w:hanging="360"/>
      </w:pPr>
    </w:lvl>
  </w:abstractNum>
  <w:abstractNum w:abstractNumId="25" w15:restartNumberingAfterBreak="0">
    <w:multiLevelType w:val="hybridMultilevel"/>
    <w:lvl w:ilvl="0" w:tentative="1">
      <w:start w:val="1"/>
      <w:numFmt w:val="decimal"/>
      <w:lvlText w:val="%1."/>
      <w:lvlJc w:val="left"/>
      <w:pPr>
        <w:ind w:left="640" w:hanging="360"/>
      </w:pPr>
    </w:lvl>
  </w:abstractNum>
  <w:num w:numId="1">
    <w:abstractNumId w:val="1"/>
    <w:lvlOverride w:ilvl="0">
      <w:startOverride w:val="1"/>
    </w:lvlOverride>
  </w:num>
  <w:num w:numId="2">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hAnsi="Liberation Serif"/>
        <w:color w:val="1A2433"/>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line="380" w:lineRule="atLeast"/>
      <w:outlineLvl w:val="0"/>
    </w:pPr>
    <w:rPr>
      <w:rFonts w:ascii="Liberation Sans" w:hAnsi="Liberation Sans"/>
      <w:b/>
      <w:bCs/>
      <w:color w:val="4F81BD"/>
      <w:sz w:val="32"/>
      <w:szCs w:val="32"/>
    </w:rPr>
  </w:style>
  <w:style w:type="paragraph" w:styleId="Heading2">
    <w:name w:val="Heading 2"/>
    <w:basedOn w:val="Normal"/>
    <w:next w:val="Normal"/>
    <w:qFormat/>
    <w:pPr>
      <w:spacing w:after="140" w:before="300" w:line="340" w:lineRule="atLeast"/>
      <w:outlineLvl w:val="1"/>
    </w:pPr>
    <w:rPr>
      <w:rFonts w:ascii="Liberation Sans" w:hAnsi="Liberation Sans"/>
      <w:b/>
      <w:bCs/>
      <w:color w:val="4F81BD"/>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5fb1f35ed59f1ce637cb64a3082aab690fbc285e.png"/><Relationship Id="rId10" Type="http://schemas.openxmlformats.org/officeDocument/2006/relationships/image" Target="media/41f7cf5a7f954a3c50fafe7f8cf2d458417dfac4.png"/><Relationship Id="rId11" Type="http://schemas.openxmlformats.org/officeDocument/2006/relationships/image" Target="media/a8e7304109defd01c8311a568d9c0266c97c7ff5.png"/><Relationship Id="rId12" Type="http://schemas.openxmlformats.org/officeDocument/2006/relationships/image" Target="media/83b08771b5ad852ae4b5a3b83118ab515a2a6ba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Lemma D: the averaged-frequency bridge and the compatibility curve D1 — TRIVORTEX polyvortex v1.1.0</dc:title>
  <dc:creator>Isaev Iskhak Khamzatovich</dc:creator>
  <dc:description>A polyvortex mini-repository theorem monograph</dc:description>
  <cp:lastModifiedBy>Un-named</cp:lastModifiedBy>
  <cp:revision>1</cp:revision>
  <dcterms:created xsi:type="dcterms:W3CDTF">2026-10-08T09:34:28.334Z</dcterms:created>
  <dcterms:modified xsi:type="dcterms:W3CDTF">2026-10-08T09:34:28.334Z</dcterms:modified>
</cp:coreProperties>
</file>

<file path=docProps/custom.xml><?xml version="1.0" encoding="utf-8"?>
<Properties xmlns="http://schemas.openxmlformats.org/officeDocument/2006/custom-properties" xmlns:vt="http://schemas.openxmlformats.org/officeDocument/2006/docPropsVTypes"/>
</file>