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line="520" w:lineRule="atLeast"/>
        <w:jc w:val="center"/>
      </w:pPr>
      <w:r>
        <w:rPr>
          <w:rFonts w:ascii="Liberation Sans" w:hAnsi="Liberation Sans"/>
          <w:b/>
          <w:bCs/>
          <w:color w:val="0A1A3A"/>
          <w:sz w:val="44"/>
          <w:szCs w:val="44"/>
        </w:rPr>
        <w:t xml:space="preserve">Theorem E: the spectral stability threshold of the N-vortex ring</w:t>
      </w:r>
    </w:p>
    <w:p>
      <w:pPr>
        <w:spacing w:after="200" w:line="340" w:lineRule="atLeast"/>
        <w:jc w:val="center"/>
      </w:pPr>
      <w:r>
        <w:rPr>
          <w:rFonts w:ascii="Liberation Sans" w:hAnsi="Liberation Sans"/>
          <w:b/>
          <w:bCs/>
          <w:color w:val="4F81BD"/>
          <w:sz w:val="26"/>
          <w:szCs w:val="26"/>
        </w:rPr>
        <w:t xml:space="preserve">A polyvortex mini-repository theorem monograph</w:t>
      </w:r>
    </w:p>
    <w:p>
      <w:pPr>
        <w:spacing w:after="60" w:line="300"/>
        <w:jc w:val="center"/>
      </w:pPr>
      <w:r>
        <w:rPr>
          <w:rFonts w:ascii="Liberation Serif" w:hAnsi="Liberation Serif"/>
          <w:color w:val="1A2433"/>
          <w:sz w:val="24"/>
          <w:szCs w:val="24"/>
        </w:rPr>
        <w:t xml:space="preserve">Isaev Iskhak Khamzatovich (ORCID 0009-0003-7299-0701)</w:t>
      </w:r>
    </w:p>
    <w:p>
      <w:pPr>
        <w:spacing w:after="240" w:line="276"/>
        <w:jc w:val="center"/>
      </w:pPr>
      <w:r>
        <w:rPr>
          <w:rFonts w:ascii="Liberation Sans" w:hAnsi="Liberation Sans"/>
          <w:i/>
          <w:iCs/>
          <w:color w:val="5A6472"/>
          <w:sz w:val="20"/>
          <w:szCs w:val="20"/>
        </w:rPr>
        <w:t xml:space="preserve">TRIVORTEX Research Program · the polyvortex mini-repository · v1.1.0 · Theorem Monograph Edition</w:t>
      </w:r>
    </w:p>
    <w:tbl>
      <w:tblPr>
        <w:tblW w:type="pct" w:w="5000"/>
        <w:tblBorders>
          <w:top w:val="single" w:color="0A1A3A" w:sz="4"/>
          <w:left w:val="none"/>
          <w:bottom w:val="single" w:color="0A1A3A" w:sz="4"/>
          <w:right w:val="none"/>
          <w:insideH w:val="single" w:color="C9D2E3" w:sz="1"/>
          <w:insideV w:val="none"/>
        </w:tblBorders>
      </w:tblPr>
      <w:tblGrid>
        <w:gridCol w:w="2636"/>
        <w:gridCol w:w="6152"/>
      </w:tblGrid>
      <w:tr>
        <w:trPr>
          <w:cantSplit/>
          <w:tblHeader/>
        </w:trPr>
        <w:tc>
          <w:tcPr>
            <w:tcW w:type="pct" w:w="1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Study</w:t>
            </w:r>
          </w:p>
        </w:tc>
        <w:tc>
          <w:tcPr>
            <w:tcW w:type="pct" w:w="3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POLYVORTEX</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Program</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TRIVORTEX — the three-body (and N-body) problem in the vortex model</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Author</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Isaev Iskhak Khamzatovich (ORCID 0009-0003-7299-0701)</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DOI</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10.5281/zenodo.21825394</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Version</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1.1.0 — the theorem monograph edition</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Date</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2026-10-08</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Code</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polyvortex/python/polyvortex/ (model · ansatz · classical · ladder · runner · figures)</w:t>
            </w:r>
          </w:p>
        </w:tc>
      </w:tr>
      <w:tr>
        <w:trPr>
          <w:cantSplit/>
          <w:tblHeader w:val="off"/>
        </w:trPr>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Data</w:t>
            </w:r>
          </w:p>
        </w:tc>
        <w:tc>
          <w:tcPr>
            <w:tcW w:type="pct" w:w="3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polyvortex/results/protocols/W1..W7_default.json</w:t>
            </w:r>
          </w:p>
        </w:tc>
      </w:tr>
      <w:tr>
        <w:trPr>
          <w:cantSplit/>
          <w:tblHeader w:val="off"/>
        </w:trPr>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License</w:t>
            </w:r>
          </w:p>
        </w:tc>
        <w:tc>
          <w:tcPr>
            <w:tcW w:type="pct" w:w="3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LicenseRef-Proprietary-Wild8Highlander-1.0</w:t>
            </w:r>
          </w:p>
        </w:tc>
      </w:tr>
    </w:tbl>
    <w:p>
      <w:pPr>
        <w:pageBreakBefore/>
        <w:spacing w:after="240" w:before="200" w:line="400" w:lineRule="atLeast"/>
        <w:jc w:val="center"/>
      </w:pPr>
      <w:r>
        <w:rPr>
          <w:rFonts w:ascii="Liberation Sans" w:hAnsi="Liberation Sans"/>
          <w:b/>
          <w:bCs/>
          <w:color w:val="4F81BD"/>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hyperlink w:history="1" w:anchor="_Toc105">
            <w:r>
              <w:t xml:space="preserve">Abstract</w:t>
            </w:r>
            <w:r>
              <w:tab/>
            </w:r>
            <w:r>
              <w:fldChar w:fldCharType="begin" w:dirty="true"/>
              <w:instrText xml:space="preserve">PAGEREF _Toc105 \h</w:instrText>
              <w:fldChar w:fldCharType="separate"/>
              <w:fldChar w:fldCharType="end"/>
            </w:r>
          </w:hyperlink>
        </w:p>
        <w:p>
          <w:pPr>
            <w:pStyle w:val="9"/>
            <w:tabs>
              <w:tab w:val="right" w:leader="dot" w:pos="9026"/>
            </w:tabs>
            <w:spacing w:before="120" w:after="60"/>
          </w:pPr>
          <w:r>
            <w:t>Abstract</w:t>
          </w:r>
          <w:r>
            <w:tab/>
          </w:r>
          <w:r>
            <w:t>1</w:t>
          </w:r>
        </w:p>
        <w:p>
          <w:pPr>
            <w:pStyle w:val="9"/>
            <w:tabs>
              <w:tab w:val="right" w:leader="dot" w:pos="9026"/>
            </w:tabs>
            <w:spacing w:before="120" w:after="60"/>
          </w:pPr>
          <w:r>
            <w:t>At a glance</w:t>
          </w:r>
          <w:r>
            <w:tab/>
          </w:r>
          <w:r>
            <w:t>1</w:t>
          </w:r>
        </w:p>
        <w:p>
          <w:pPr>
            <w:pStyle w:val="9"/>
            <w:tabs>
              <w:tab w:val="right" w:leader="dot" w:pos="9026"/>
            </w:tabs>
            <w:spacing w:before="120" w:after="60"/>
          </w:pPr>
          <w:r>
            <w:t>1. Introduction and setting</w:t>
          </w:r>
          <w:r>
            <w:tab/>
          </w:r>
          <w:r>
            <w:t>1</w:t>
          </w:r>
        </w:p>
        <w:p>
          <w:pPr>
            <w:pStyle w:val="9"/>
            <w:tabs>
              <w:tab w:val="right" w:leader="dot" w:pos="9026"/>
            </w:tabs>
            <w:spacing w:before="120" w:after="60"/>
          </w:pPr>
          <w:r>
            <w:t>2. The eigenvalue problem</w:t>
          </w:r>
          <w:r>
            <w:tab/>
          </w:r>
          <w:r>
            <w:t>2</w:t>
          </w:r>
        </w:p>
        <w:p>
          <w:pPr>
            <w:pStyle w:val="9"/>
            <w:tabs>
              <w:tab w:val="right" w:leader="dot" w:pos="9026"/>
            </w:tabs>
            <w:spacing w:before="120" w:after="60"/>
          </w:pPr>
          <w:r>
            <w:t>3. Numerical certification (stage W4)</w:t>
          </w:r>
          <w:r>
            <w:tab/>
          </w:r>
          <w:r>
            <w:t>2</w:t>
          </w:r>
        </w:p>
        <w:p>
          <w:pPr>
            <w:pStyle w:val="9"/>
            <w:tabs>
              <w:tab w:val="right" w:leader="dot" w:pos="9026"/>
            </w:tabs>
            <w:spacing w:before="120" w:after="60"/>
          </w:pPr>
          <w:r>
            <w:t>4. The defective zero and the scope</w:t>
          </w:r>
          <w:r>
            <w:tab/>
          </w:r>
          <w:r>
            <w:t>3</w:t>
          </w:r>
        </w:p>
        <w:p>
          <w:pPr>
            <w:pStyle w:val="9"/>
            <w:tabs>
              <w:tab w:val="right" w:leader="dot" w:pos="9026"/>
            </w:tabs>
            <w:spacing w:before="120" w:after="60"/>
          </w:pPr>
          <w:r>
            <w:t>5. Relation to the formalization roadmap</w:t>
          </w:r>
          <w:r>
            <w:tab/>
          </w:r>
          <w:r>
            <w:t>3</w:t>
          </w:r>
        </w:p>
        <w:p>
          <w:pPr>
            <w:pStyle w:val="9"/>
            <w:tabs>
              <w:tab w:val="right" w:leader="dot" w:pos="9026"/>
            </w:tabs>
            <w:spacing w:before="120" w:after="60"/>
          </w:pPr>
          <w:r>
            <w:t>References</w:t>
          </w:r>
          <w:r>
            <w:tab/>
          </w:r>
          <w:r>
            <w:t>4</w:t>
          </w:r>
        </w:p>
        <w:p>
          <w:r>
            <w:fldChar w:fldCharType="end"/>
          </w:r>
        </w:p>
      </w:sdtContent>
    </w:sdt>
    <w:p>
      <w:pPr>
        <w:spacing w:before="200" w:line="276"/>
        <w:sectPr>
          <w:footerReference w:type="default" r:id="rId6"/>
          <w:pgSz w:w="11906" w:h="16838" w:orient="portrait"/>
          <w:pgMar w:top="1440" w:right="1417" w:bottom="1440" w:left="1701" w:header="850" w:footer="992" w:gutter="0"/>
          <w:docGrid w:linePitch="360"/>
        </w:sectPr>
      </w:pPr>
      <w:r>
        <w:rPr>
          <w:rFonts w:ascii="Liberation Serif" w:hAnsi="Liberation Serif"/>
          <w:i/>
          <w:iCs/>
          <w:color w:val="888888"/>
          <w:sz w:val="18"/>
          <w:szCs w:val="18"/>
        </w:rPr>
        <w:t xml:space="preserve">Note: this Table of Contents is generated via field codes. After editing, right-click the TOC and select "Update Field" to refresh the page numbers.</w:t>
      </w:r>
    </w:p>
    <w:p>
      <w:pPr>
        <w:pStyle w:val="Heading1"/>
        <w:keepNext/>
        <w:spacing w:after="160" w:before="400" w:line="312"/>
      </w:pPr>
      <w:bookmarkStart w:name="_Toc105" w:id="105"/>
      <w:r>
        <w:rPr>
          <w:rFonts w:ascii="Liberation Sans" w:hAnsi="Liberation Sans"/>
          <w:b/>
          <w:bCs/>
          <w:color w:val="4F81BD"/>
          <w:sz w:val="32"/>
          <w:szCs w:val="32"/>
        </w:rPr>
        <w:t xml:space="preserve">Abstract</w:t>
      </w:r>
      <w:bookmarkEnd w:id="105"/>
    </w:p>
    <w:p>
      <w:pPr>
        <w:spacing w:after="120" w:line="312"/>
        <w:jc w:val="both"/>
      </w:pPr>
      <w:r>
        <w:rPr>
          <w:rFonts w:ascii="Liberation Serif" w:hAnsi="Liberation Serif"/>
          <w:color w:val="1A2433"/>
          <w:sz w:val="24"/>
          <w:szCs w:val="24"/>
        </w:rPr>
        <w:t xml:space="preserve">A regular ring of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 identical vortices rotates rigidly for every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 (Theorem A), but the spectral quality of that rotation changes by a jump: the co-rotating spectrum of the linearization is purely imaginary for </w:t>
      </w:r>
      <w:r>
        <w:rPr>
          <w:rFonts w:ascii="Liberation Serif" w:hAnsi="Liberation Serif"/>
          <w:i w:val="false"/>
          <w:iCs w:val="false"/>
          <w:color w:val="1A2433"/>
          <w:sz w:val="24"/>
          <w:szCs w:val="24"/>
        </w:rPr>
        <w:t xml:space="preserve">N ≤ 7</w:t>
      </w:r>
      <w:r>
        <w:rPr>
          <w:rFonts w:ascii="Liberation Serif" w:hAnsi="Liberation Serif"/>
          <w:color w:val="1A2433"/>
          <w:sz w:val="24"/>
          <w:szCs w:val="24"/>
        </w:rPr>
        <w:t xml:space="preserve"> and owns a real growing pair for </w:t>
      </w:r>
      <w:r>
        <w:rPr>
          <w:rFonts w:ascii="Liberation Serif" w:hAnsi="Liberation Serif"/>
          <w:i w:val="false"/>
          <w:iCs w:val="false"/>
          <w:color w:val="1A2433"/>
          <w:sz w:val="24"/>
          <w:szCs w:val="24"/>
        </w:rPr>
        <w:t xml:space="preserve">N ≥ 8</w:t>
      </w:r>
      <w:r>
        <w:rPr>
          <w:rFonts w:ascii="Liberation Serif" w:hAnsi="Liberation Serif"/>
          <w:color w:val="1A2433"/>
          <w:sz w:val="24"/>
          <w:szCs w:val="24"/>
        </w:rPr>
        <w:t xml:space="preserve">. This monograph states the Havelock (1931) classification with the later rigorous treatment by Khazin (1976), describes the numerical implementation — the analytic Jacobian </w:t>
      </w:r>
      <w:r>
        <w:rPr>
          <w:rFonts w:ascii="Liberation Serif" w:hAnsi="Liberation Serif"/>
          <w:i w:val="false"/>
          <w:iCs w:val="false"/>
          <w:color w:val="1A2433"/>
          <w:sz w:val="24"/>
          <w:szCs w:val="24"/>
        </w:rPr>
        <w:t xml:space="preserve">A</w:t>
      </w:r>
      <w:r>
        <w:rPr>
          <w:rFonts w:ascii="Liberation Serif" w:hAnsi="Liberation Serif"/>
          <w:color w:val="1A2433"/>
          <w:sz w:val="24"/>
          <w:szCs w:val="24"/>
        </w:rPr>
        <w:t xml:space="preserve"> of the Kirchhoff field plus the transport generator </w:t>
      </w:r>
      <w:r>
        <w:rPr>
          <w:rFonts w:ascii="Liberation Serif" w:hAnsi="Liberation Serif"/>
          <w:i w:val="false"/>
          <w:iCs w:val="false"/>
          <w:color w:val="1A2433"/>
          <w:sz w:val="24"/>
          <w:szCs w:val="24"/>
        </w:rPr>
        <w:t xml:space="preserve">ω_N S</w:t>
      </w:r>
      <w:r>
        <w:rPr>
          <w:rFonts w:ascii="Liberation Serif" w:hAnsi="Liberation Serif"/>
          <w:color w:val="1A2433"/>
          <w:sz w:val="24"/>
          <w:szCs w:val="24"/>
        </w:rPr>
        <w:t xml:space="preserve"> — and certifies the threshold by stage W4: for </w:t>
      </w:r>
      <w:r>
        <w:rPr>
          <w:rFonts w:ascii="Liberation Serif" w:hAnsi="Liberation Serif"/>
          <w:i w:val="false"/>
          <w:iCs w:val="false"/>
          <w:color w:val="1A2433"/>
          <w:sz w:val="24"/>
          <w:szCs w:val="24"/>
        </w:rPr>
        <w:t xml:space="preserve">N = 2..7</w:t>
      </w:r>
      <w:r>
        <w:rPr>
          <w:rFonts w:ascii="Liberation Serif" w:hAnsi="Liberation Serif"/>
          <w:color w:val="1A2433"/>
          <w:sz w:val="24"/>
          <w:szCs w:val="24"/>
        </w:rPr>
        <w:t xml:space="preserve"> the maximum </w:t>
      </w:r>
      <w:r>
        <w:rPr>
          <w:rFonts w:ascii="Liberation Serif" w:hAnsi="Liberation Serif"/>
          <w:i w:val="false"/>
          <w:iCs w:val="false"/>
          <w:color w:val="1A2433"/>
          <w:sz w:val="24"/>
          <w:szCs w:val="24"/>
        </w:rPr>
        <w:t xml:space="preserve">max Re λ ≤ 7.0· 10⁻⁹</w:t>
      </w:r>
      <w:r>
        <w:rPr>
          <w:rFonts w:ascii="Liberation Serif" w:hAnsi="Liberation Serif"/>
          <w:color w:val="1A2433"/>
          <w:sz w:val="24"/>
          <w:szCs w:val="24"/>
        </w:rPr>
        <w:t xml:space="preserve"> (the defective-double-zero floor), for </w:t>
      </w:r>
      <w:r>
        <w:rPr>
          <w:rFonts w:ascii="Liberation Serif" w:hAnsi="Liberation Serif"/>
          <w:i w:val="false"/>
          <w:iCs w:val="false"/>
          <w:color w:val="1A2433"/>
          <w:sz w:val="24"/>
          <w:szCs w:val="24"/>
        </w:rPr>
        <w:t xml:space="preserve">N = 8</w:t>
      </w:r>
      <w:r>
        <w:rPr>
          <w:rFonts w:ascii="Liberation Serif" w:hAnsi="Liberation Serif"/>
          <w:color w:val="1A2433"/>
          <w:sz w:val="24"/>
          <w:szCs w:val="24"/>
        </w:rPr>
        <w:t xml:space="preserve"> the growth rate </w:t>
      </w:r>
      <w:r>
        <w:rPr>
          <w:rFonts w:ascii="Liberation Serif" w:hAnsi="Liberation Serif"/>
          <w:i w:val="false"/>
          <w:iCs w:val="false"/>
          <w:color w:val="1A2433"/>
          <w:sz w:val="24"/>
          <w:szCs w:val="24"/>
        </w:rPr>
        <w:t xml:space="preserve">max Re λ = +0.4502</w:t>
      </w:r>
      <w:r>
        <w:rPr>
          <w:rFonts w:ascii="Liberation Serif" w:hAnsi="Liberation Serif"/>
          <w:color w:val="1A2433"/>
          <w:sz w:val="24"/>
          <w:szCs w:val="24"/>
        </w:rPr>
        <w:t xml:space="preserve"> — a three-order margin on both sides of the </w:t>
      </w:r>
      <w:r>
        <w:rPr>
          <w:rFonts w:ascii="Liberation Serif" w:hAnsi="Liberation Serif"/>
          <w:i w:val="false"/>
          <w:iCs w:val="false"/>
          <w:color w:val="1A2433"/>
          <w:sz w:val="24"/>
          <w:szCs w:val="24"/>
        </w:rPr>
        <w:t xml:space="preserve">10⁻⁷</w:t>
      </w:r>
      <w:r>
        <w:rPr>
          <w:rFonts w:ascii="Liberation Serif" w:hAnsi="Liberation Serif"/>
          <w:color w:val="1A2433"/>
          <w:sz w:val="24"/>
          <w:szCs w:val="24"/>
        </w:rPr>
        <w:t xml:space="preserve"> classifier. A separate numerical remark concerns the defective zero of the co-rotating Jacobian (algebraic multiplicity two, geometric one): rounding splits it into a </w:t>
      </w:r>
      <w:r>
        <w:rPr>
          <w:rFonts w:ascii="Liberation Serif" w:hAnsi="Liberation Serif"/>
          <w:i w:val="false"/>
          <w:iCs w:val="false"/>
          <w:color w:val="1A2433"/>
          <w:sz w:val="24"/>
          <w:szCs w:val="24"/>
        </w:rPr>
        <w:t xml:space="preserve">±</w:t>
      </w:r>
      <w:r>
        <w:rPr>
          <w:rFonts w:ascii="Liberation Serif" w:hAnsi="Liberation Serif"/>
          <w:color w:val="1A2433"/>
          <w:sz w:val="24"/>
          <w:szCs w:val="24"/>
        </w:rPr>
        <w:t xml:space="preserve">-pair of size </w:t>
      </w:r>
      <w:r>
        <w:rPr>
          <w:rFonts w:ascii="Liberation Serif" w:hAnsi="Liberation Serif"/>
          <w:i w:val="false"/>
          <w:iCs w:val="false"/>
          <w:color w:val="1A2433"/>
          <w:sz w:val="24"/>
          <w:szCs w:val="24"/>
        </w:rPr>
        <w:t xml:space="preserve">√(ε_mach|J|)∼ 10⁻⁹</w:t>
      </w:r>
      <w:r>
        <w:rPr>
          <w:rFonts w:ascii="Liberation Serif" w:hAnsi="Liberation Serif"/>
          <w:color w:val="1A2433"/>
          <w:sz w:val="24"/>
          <w:szCs w:val="24"/>
        </w:rPr>
        <w:t xml:space="preserve">, which explains the noise floor of the stable cases. The threshold is the numerical prototype of the parent roadmap item T3; only the spectral (linear) classification is claimed, no nonlinear stability is asserted.</w:t>
      </w:r>
    </w:p>
    <w:p>
      <w:pPr>
        <w:pStyle w:val="Heading1"/>
        <w:keepNext/>
        <w:spacing w:after="160" w:before="400" w:line="312"/>
      </w:pPr>
      <w:bookmarkStart w:name="_Toc106" w:id="106"/>
      <w:r>
        <w:rPr>
          <w:rFonts w:ascii="Liberation Sans" w:hAnsi="Liberation Sans"/>
          <w:b/>
          <w:bCs/>
          <w:color w:val="4F81BD"/>
          <w:sz w:val="32"/>
          <w:szCs w:val="32"/>
        </w:rPr>
        <w:t xml:space="preserve">At a glance</w:t>
      </w:r>
      <w:bookmarkEnd w:id="106"/>
    </w:p>
    <w:tbl>
      <w:tblPr>
        <w:tblW w:type="pct" w:w="5000"/>
        <w:tblBorders>
          <w:top w:val="single" w:color="0A1A3A" w:sz="4"/>
          <w:left w:val="none"/>
          <w:bottom w:val="single" w:color="0A1A3A" w:sz="4"/>
          <w:right w:val="none"/>
          <w:insideH w:val="single" w:color="C9D2E3" w:sz="1"/>
          <w:insideV w:val="none"/>
        </w:tblBorders>
      </w:tblPr>
      <w:tblGrid>
        <w:gridCol w:w="2988"/>
        <w:gridCol w:w="5800"/>
      </w:tblGrid>
      <w:tr>
        <w:trPr>
          <w:cantSplit/>
          <w:tblHeader/>
        </w:trPr>
        <w:tc>
          <w:tcPr>
            <w:tcW w:type="pct" w:w="17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Model</w:t>
            </w:r>
          </w:p>
        </w:tc>
        <w:tc>
          <w:tcPr>
            <w:tcW w:type="pct" w:w="33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Layer-K linearization in the co-rotating frame of the ring</w:t>
            </w:r>
          </w:p>
        </w:tc>
      </w:tr>
      <w:tr>
        <w:trPr>
          <w:cantSplit/>
          <w:tblHeader w:val="off"/>
        </w:trPr>
        <w:tc>
          <w:tcPr>
            <w:tcW w:type="pct" w:w="1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Headline result</w:t>
            </w:r>
          </w:p>
        </w:tc>
        <w:tc>
          <w:tcPr>
            <w:tcW w:type="pct" w:w="33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stable </w:t>
            </w:r>
            <w:r>
              <w:rPr>
                <w:rFonts w:ascii="Liberation Serif" w:hAnsi="Liberation Serif"/>
                <w:i w:val="false"/>
                <w:iCs w:val="false"/>
                <w:color w:val="1A2433"/>
                <w:sz w:val="21"/>
                <w:szCs w:val="21"/>
              </w:rPr>
              <w:t xml:space="preserve">N ≤ 7</w:t>
            </w:r>
            <w:r>
              <w:rPr>
                <w:rFonts w:ascii="Liberation Serif" w:hAnsi="Liberation Serif"/>
                <w:color w:val="1A2433"/>
                <w:sz w:val="21"/>
                <w:szCs w:val="21"/>
              </w:rPr>
              <w:t xml:space="preserve"> (</w:t>
            </w:r>
            <w:r>
              <w:rPr>
                <w:rFonts w:ascii="Liberation Serif" w:hAnsi="Liberation Serif"/>
                <w:i w:val="false"/>
                <w:iCs w:val="false"/>
                <w:color w:val="1A2433"/>
                <w:sz w:val="21"/>
                <w:szCs w:val="21"/>
              </w:rPr>
              <w:t xml:space="preserve">≤ 7.0e-9</w:t>
            </w:r>
            <w:r>
              <w:rPr>
                <w:rFonts w:ascii="Liberation Serif" w:hAnsi="Liberation Serif"/>
                <w:color w:val="1A2433"/>
                <w:sz w:val="21"/>
                <w:szCs w:val="21"/>
              </w:rPr>
              <w:t xml:space="preserve">), unstable </w:t>
            </w:r>
            <w:r>
              <w:rPr>
                <w:rFonts w:ascii="Liberation Serif" w:hAnsi="Liberation Serif"/>
                <w:i w:val="false"/>
                <w:iCs w:val="false"/>
                <w:color w:val="1A2433"/>
                <w:sz w:val="21"/>
                <w:szCs w:val="21"/>
              </w:rPr>
              <w:t xml:space="preserve">N ≥ 8</w:t>
            </w:r>
            <w:r>
              <w:rPr>
                <w:rFonts w:ascii="Liberation Serif" w:hAnsi="Liberation Serif"/>
                <w:color w:val="1A2433"/>
                <w:sz w:val="21"/>
                <w:szCs w:val="21"/>
              </w:rPr>
              <w:t xml:space="preserve"> (</w:t>
            </w:r>
            <w:r>
              <w:rPr>
                <w:rFonts w:ascii="Liberation Serif" w:hAnsi="Liberation Serif"/>
                <w:i w:val="false"/>
                <w:iCs w:val="false"/>
                <w:color w:val="1A2433"/>
                <w:sz w:val="21"/>
                <w:szCs w:val="21"/>
              </w:rPr>
              <w:t xml:space="preserve">+0.4502</w:t>
            </w:r>
            <w:r>
              <w:rPr>
                <w:rFonts w:ascii="Liberation Serif" w:hAnsi="Liberation Serif"/>
                <w:color w:val="1A2433"/>
                <w:sz w:val="21"/>
                <w:szCs w:val="21"/>
              </w:rPr>
              <w:t xml:space="preserve">)</w:t>
            </w:r>
          </w:p>
        </w:tc>
      </w:tr>
      <w:tr>
        <w:trPr>
          <w:cantSplit/>
          <w:tblHeader w:val="off"/>
        </w:trPr>
        <w:tc>
          <w:tcPr>
            <w:tcW w:type="pct" w:w="1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Verification</w:t>
            </w:r>
          </w:p>
        </w:tc>
        <w:tc>
          <w:tcPr>
            <w:tcW w:type="pct" w:w="33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stage W4: analytic Jacobian + transport, the </w:t>
            </w:r>
            <w:r>
              <w:rPr>
                <w:rFonts w:ascii="Liberation Serif" w:hAnsi="Liberation Serif"/>
                <w:i w:val="false"/>
                <w:iCs w:val="false"/>
                <w:color w:val="1A2433"/>
                <w:sz w:val="21"/>
                <w:szCs w:val="21"/>
              </w:rPr>
              <w:t xml:space="preserve">10⁻⁷</w:t>
            </w:r>
            <w:r>
              <w:rPr>
                <w:rFonts w:ascii="Liberation Serif" w:hAnsi="Liberation Serif"/>
                <w:color w:val="1A2433"/>
                <w:sz w:val="21"/>
                <w:szCs w:val="21"/>
              </w:rPr>
              <w:t xml:space="preserve"> classifier</w:t>
            </w:r>
          </w:p>
        </w:tc>
      </w:tr>
      <w:tr>
        <w:trPr>
          <w:cantSplit/>
          <w:tblHeader w:val="off"/>
        </w:trPr>
        <w:tc>
          <w:tcPr>
            <w:tcW w:type="pct" w:w="17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Subtlety</w:t>
            </w:r>
          </w:p>
        </w:tc>
        <w:tc>
          <w:tcPr>
            <w:tcW w:type="pct" w:w="33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the defective double zero: floor </w:t>
            </w:r>
            <w:r>
              <w:rPr>
                <w:rFonts w:ascii="Liberation Serif" w:hAnsi="Liberation Serif"/>
                <w:i w:val="false"/>
                <w:iCs w:val="false"/>
                <w:color w:val="1A2433"/>
                <w:sz w:val="21"/>
                <w:szCs w:val="21"/>
              </w:rPr>
              <w:t xml:space="preserve">√(ε_mach|J|)∼ 10⁻⁹</w:t>
            </w:r>
          </w:p>
        </w:tc>
      </w:tr>
      <w:tr>
        <w:trPr>
          <w:cantSplit/>
          <w:tblHeader w:val="off"/>
        </w:trPr>
        <w:tc>
          <w:tcPr>
            <w:tcW w:type="pct" w:w="17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Formalization queue</w:t>
            </w:r>
          </w:p>
        </w:tc>
        <w:tc>
          <w:tcPr>
            <w:tcW w:type="pct" w:w="33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TW5 — per-mode characteristic polynomial; Routh–Hurwitz</w:t>
            </w:r>
          </w:p>
        </w:tc>
      </w:tr>
    </w:tbl>
    <w:p>
      <w:pPr>
        <w:spacing w:after="120"/>
      </w:pPr>
    </w:p>
    <w:p>
      <w:pPr>
        <w:pStyle w:val="Heading1"/>
        <w:keepNext/>
        <w:spacing w:after="160" w:before="400" w:line="312"/>
      </w:pPr>
      <w:bookmarkStart w:name="_Toc107" w:id="107"/>
      <w:r>
        <w:rPr>
          <w:rFonts w:ascii="Liberation Sans" w:hAnsi="Liberation Sans"/>
          <w:b/>
          <w:bCs/>
          <w:color w:val="4F81BD"/>
          <w:sz w:val="32"/>
          <w:szCs w:val="32"/>
        </w:rPr>
        <w:t xml:space="preserve">1. Introduction and setting</w:t>
      </w:r>
      <w:bookmarkEnd w:id="107"/>
    </w:p>
    <w:p>
      <w:pPr>
        <w:spacing w:after="120" w:line="312"/>
        <w:jc w:val="both"/>
      </w:pPr>
      <w:r>
        <w:rPr>
          <w:rFonts w:ascii="Liberation Serif" w:hAnsi="Liberation Serif"/>
          <w:color w:val="1A2433"/>
          <w:sz w:val="24"/>
          <w:szCs w:val="24"/>
        </w:rPr>
        <w:t xml:space="preserve">Theorem A guarantees the ring a rigid rotation for every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 but says nothing about what happens to the configuration under a small perturbation. The linear analysis answers: linearizing the Kirchhoff flow around the rotating ring in the co-rotating frame yields an eigenvalue problem whose spectrum is the complete linear verdict. The classical classification goes back to Havelock (1931): the heptagon is the last stable member of the family, the octagon is already unstable. This is one of the most cited facts of vortex dynamics, and the parent roadmap queues its reproduction as item T3. This monograph pins the numerical implementation of the threshold in the mini-repository: an analytic Jacobian (no finite differences), the transport term, a classifier with an explicit tolerance, and the W4 protocol with full spectra.</w:t>
      </w:r>
    </w:p>
    <w:p>
      <w:pPr>
        <w:pStyle w:val="Heading1"/>
        <w:keepNext/>
        <w:spacing w:after="160" w:before="400" w:line="312"/>
      </w:pPr>
      <w:bookmarkStart w:name="_Toc108" w:id="108"/>
      <w:r>
        <w:rPr>
          <w:rFonts w:ascii="Liberation Sans" w:hAnsi="Liberation Sans"/>
          <w:b/>
          <w:bCs/>
          <w:color w:val="4F81BD"/>
          <w:sz w:val="32"/>
          <w:szCs w:val="32"/>
        </w:rPr>
        <w:t xml:space="preserve">2. The eigenvalue problem</w:t>
      </w:r>
      <w:bookmarkEnd w:id="108"/>
    </w:p>
    <w:p>
      <w:pPr>
        <w:spacing w:after="120" w:line="312"/>
        <w:jc w:val="both"/>
      </w:pPr>
      <w:r>
        <w:rPr>
          <w:rFonts w:ascii="Liberation Serif" w:hAnsi="Liberation Serif"/>
          <w:color w:val="1A2433"/>
          <w:sz w:val="24"/>
          <w:szCs w:val="24"/>
        </w:rPr>
        <w:t xml:space="preserve">Let </w:t>
      </w:r>
      <w:r>
        <w:rPr>
          <w:rFonts w:ascii="Liberation Serif" w:hAnsi="Liberation Serif"/>
          <w:i w:val="false"/>
          <w:iCs w:val="false"/>
          <w:color w:val="1A2433"/>
          <w:sz w:val="24"/>
          <w:szCs w:val="24"/>
        </w:rPr>
        <w:t xml:space="preserve">{zₖ}</w:t>
      </w:r>
      <w:r>
        <w:rPr>
          <w:rFonts w:ascii="Liberation Serif" w:hAnsi="Liberation Serif"/>
          <w:color w:val="1A2433"/>
          <w:sz w:val="24"/>
          <w:szCs w:val="24"/>
        </w:rPr>
        <w:t xml:space="preserve"> be the vortex positions of the ring (Theorem A) and </w:t>
      </w:r>
      <w:r>
        <w:rPr>
          <w:rFonts w:ascii="Liberation Serif" w:hAnsi="Liberation Serif"/>
          <w:i w:val="false"/>
          <w:iCs w:val="false"/>
          <w:color w:val="1A2433"/>
          <w:sz w:val="24"/>
          <w:szCs w:val="24"/>
        </w:rPr>
        <w:t xml:space="preserve">ω_N = Γ(N-1)/(4π R²)</w:t>
      </w:r>
      <w:r>
        <w:rPr>
          <w:rFonts w:ascii="Liberation Serif" w:hAnsi="Liberation Serif"/>
          <w:color w:val="1A2433"/>
          <w:sz w:val="24"/>
          <w:szCs w:val="24"/>
        </w:rPr>
        <w:t xml:space="preserve">. The linearization of Layer K in the fixed frame gives the Jacobian </w:t>
      </w:r>
      <w:r>
        <w:rPr>
          <w:rFonts w:ascii="Liberation Serif" w:hAnsi="Liberation Serif"/>
          <w:i w:val="false"/>
          <w:iCs w:val="false"/>
          <w:color w:val="1A2433"/>
          <w:sz w:val="24"/>
          <w:szCs w:val="24"/>
        </w:rPr>
        <w:t xml:space="preserve">A = d rhs/d state</w:t>
      </w:r>
      <w:r>
        <w:rPr>
          <w:rFonts w:ascii="Liberation Serif" w:hAnsi="Liberation Serif"/>
          <w:color w:val="1A2433"/>
          <w:sz w:val="24"/>
          <w:szCs w:val="24"/>
        </w:rPr>
        <w:t xml:space="preserve">; the passage to the frame rotating with </w:t>
      </w:r>
      <w:r>
        <w:rPr>
          <w:rFonts w:ascii="Liberation Serif" w:hAnsi="Liberation Serif"/>
          <w:i w:val="false"/>
          <w:iCs w:val="false"/>
          <w:color w:val="1A2433"/>
          <w:sz w:val="24"/>
          <w:szCs w:val="24"/>
        </w:rPr>
        <w:t xml:space="preserve">ω_N</w:t>
      </w:r>
      <w:r>
        <w:rPr>
          <w:rFonts w:ascii="Liberation Serif" w:hAnsi="Liberation Serif"/>
          <w:color w:val="1A2433"/>
          <w:sz w:val="24"/>
          <w:szCs w:val="24"/>
        </w:rPr>
        <w:t xml:space="preserve"> adds a transport term: a perturbation </w:t>
      </w:r>
      <w:r>
        <w:rPr>
          <w:rFonts w:ascii="Liberation Serif" w:hAnsi="Liberation Serif"/>
          <w:i w:val="false"/>
          <w:iCs w:val="false"/>
          <w:color w:val="1A2433"/>
          <w:sz w:val="24"/>
          <w:szCs w:val="24"/>
        </w:rPr>
        <w:t xml:space="preserve">w</w:t>
      </w:r>
      <w:r>
        <w:rPr>
          <w:rFonts w:ascii="Liberation Serif" w:hAnsi="Liberation Serif"/>
          <w:color w:val="1A2433"/>
          <w:sz w:val="24"/>
          <w:szCs w:val="24"/>
        </w:rPr>
        <w:t xml:space="preserve"> obeys </w:t>
      </w:r>
      <w:r>
        <w:rPr>
          <w:rFonts w:ascii="Liberation Serif" w:hAnsi="Liberation Serif"/>
          <w:i w:val="false"/>
          <w:iCs w:val="false"/>
          <w:color w:val="1A2433"/>
          <w:sz w:val="24"/>
          <w:szCs w:val="24"/>
        </w:rPr>
        <w:t xml:space="preserve">dot w = (A + ω_N S) w</w:t>
      </w:r>
      <w:r>
        <w:rPr>
          <w:rFonts w:ascii="Liberation Serif" w:hAnsi="Liberation Serif"/>
          <w:color w:val="1A2433"/>
          <w:sz w:val="24"/>
          <w:szCs w:val="24"/>
        </w:rPr>
        <w:t xml:space="preserve"> with the block-diagonal rotation generator</w:t>
      </w:r>
    </w:p>
    <w:p>
      <w:pPr>
        <w:spacing w:after="140" w:before="140"/>
        <w:jc w:val="center"/>
      </w:pPr>
      <w:r>
        <w:drawing>
          <wp:inline distT="0" distB="0" distL="0" distR="0">
            <wp:extent cx="3438525" cy="2667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38525" cy="266700"/>
                    </a:xfrm>
                    <a:prstGeom prst="rect">
                      <a:avLst/>
                    </a:prstGeom>
                  </pic:spPr>
                </pic:pic>
              </a:graphicData>
            </a:graphic>
          </wp:inline>
        </w:drawing>
      </w:r>
    </w:p>
    <w:p>
      <w:pPr>
        <w:spacing w:after="120" w:line="312"/>
        <w:jc w:val="both"/>
      </w:pPr>
      <w:r>
        <w:rPr>
          <w:rFonts w:ascii="Liberation Serif" w:hAnsi="Liberation Serif"/>
          <w:color w:val="1A2433"/>
          <w:sz w:val="24"/>
          <w:szCs w:val="24"/>
        </w:rPr>
        <w:t xml:space="preserve">The relative equilibrium is spectrally stable iff the whole spectrum of </w:t>
      </w:r>
      <w:r>
        <w:rPr>
          <w:rFonts w:ascii="Liberation Serif" w:hAnsi="Liberation Serif"/>
          <w:i w:val="false"/>
          <w:iCs w:val="false"/>
          <w:color w:val="1A2433"/>
          <w:sz w:val="24"/>
          <w:szCs w:val="24"/>
        </w:rPr>
        <w:t xml:space="preserve">J = A + ω_N S</w:t>
      </w:r>
      <w:r>
        <w:rPr>
          <w:rFonts w:ascii="Liberation Serif" w:hAnsi="Liberation Serif"/>
          <w:color w:val="1A2433"/>
          <w:sz w:val="24"/>
          <w:szCs w:val="24"/>
        </w:rPr>
        <w:t xml:space="preserve"> is purely imaginary (the Havelock criterion). The analytic Jacobian is written in </w:t>
      </w:r>
      <w:r>
        <w:rPr>
          <w:rFonts w:ascii="Consolas" w:hAnsi="Consolas"/>
          <w:color w:val="1A2433"/>
          <w:sz w:val="22"/>
          <w:szCs w:val="22"/>
        </w:rPr>
        <w:t xml:space="preserve">model.py</w:t>
      </w:r>
      <w:r>
        <w:rPr>
          <w:rFonts w:ascii="Liberation Serif" w:hAnsi="Liberation Serif"/>
          <w:color w:val="1A2433"/>
          <w:sz w:val="24"/>
          <w:szCs w:val="24"/>
        </w:rPr>
        <w:t xml:space="preserve"> as pairwise blocks </w:t>
      </w:r>
      <w:r>
        <w:rPr>
          <w:rFonts w:ascii="Liberation Serif" w:hAnsi="Liberation Serif"/>
          <w:i w:val="false"/>
          <w:iCs w:val="false"/>
          <w:color w:val="1A2433"/>
          <w:sz w:val="24"/>
          <w:szCs w:val="24"/>
        </w:rPr>
        <w:t xml:space="preserve">∂(vₓⁱ, v_yⁱ)/∂(x^(j), y^(j))</w:t>
      </w:r>
      <w:r>
        <w:rPr>
          <w:rFonts w:ascii="Liberation Serif" w:hAnsi="Liberation Serif"/>
          <w:color w:val="1A2433"/>
          <w:sz w:val="24"/>
          <w:szCs w:val="24"/>
        </w:rPr>
        <w:t xml:space="preserve"> and validated against central finite differences in the test suite — the numerical implementation is free of differentiation noise.</w:t>
      </w:r>
    </w:p>
    <w:p>
      <w:pPr>
        <w:pStyle w:val="Heading1"/>
        <w:keepNext/>
        <w:spacing w:after="160" w:before="400" w:line="312"/>
      </w:pPr>
      <w:bookmarkStart w:name="_Toc109" w:id="109"/>
      <w:r>
        <w:rPr>
          <w:rFonts w:ascii="Liberation Sans" w:hAnsi="Liberation Sans"/>
          <w:b/>
          <w:bCs/>
          <w:color w:val="4F81BD"/>
          <w:sz w:val="32"/>
          <w:szCs w:val="32"/>
        </w:rPr>
        <w:t xml:space="preserve">3. Numerical certification (stage W4)</w:t>
      </w:r>
      <w:bookmarkEnd w:id="109"/>
    </w:p>
    <w:p>
      <w:pPr>
        <w:spacing w:after="120" w:line="312"/>
        <w:jc w:val="both"/>
      </w:pPr>
      <w:r>
        <w:rPr>
          <w:rFonts w:ascii="Liberation Serif" w:hAnsi="Liberation Serif"/>
          <w:color w:val="1A2433"/>
          <w:sz w:val="24"/>
          <w:szCs w:val="24"/>
        </w:rPr>
        <w:t xml:space="preserve">The </w:t>
      </w:r>
      <w:r>
        <w:rPr>
          <w:rFonts w:ascii="Consolas" w:hAnsi="Consolas"/>
          <w:color w:val="1A2433"/>
          <w:sz w:val="22"/>
          <w:szCs w:val="22"/>
        </w:rPr>
        <w:t xml:space="preserve">W4_stability_default.json</w:t>
      </w:r>
      <w:r>
        <w:rPr>
          <w:rFonts w:ascii="Liberation Serif" w:hAnsi="Liberation Serif"/>
          <w:color w:val="1A2433"/>
          <w:sz w:val="24"/>
          <w:szCs w:val="24"/>
        </w:rPr>
        <w:t xml:space="preserve"> protocol (</w:t>
      </w:r>
      <w:r>
        <w:rPr>
          <w:rFonts w:ascii="Liberation Serif" w:hAnsi="Liberation Serif"/>
          <w:i w:val="false"/>
          <w:iCs w:val="false"/>
          <w:color w:val="1A2433"/>
          <w:sz w:val="24"/>
          <w:szCs w:val="24"/>
        </w:rPr>
        <w:t xml:space="preserve">Γ = 1</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R = 1</w:t>
      </w:r>
      <w:r>
        <w:rPr>
          <w:rFonts w:ascii="Liberation Serif" w:hAnsi="Liberation Serif"/>
          <w:color w:val="1A2433"/>
          <w:sz w:val="24"/>
          <w:szCs w:val="24"/>
        </w:rPr>
        <w:t xml:space="preserve">):</w:t>
      </w:r>
    </w:p>
    <w:p>
      <w:pPr>
        <w:keepNext/>
        <w:spacing w:after="80" w:before="160" w:line="276"/>
      </w:pPr>
      <w:r>
        <w:rPr>
          <w:rFonts w:ascii="Liberation Sans" w:hAnsi="Liberation Sans"/>
          <w:b/>
          <w:bCs/>
          <w:color w:val="5A6472"/>
          <w:sz w:val="21"/>
          <w:szCs w:val="21"/>
        </w:rPr>
        <w:t xml:space="preserve">Table 1 — W4: the maximum real part of the spectrum across $N$</w:t>
      </w:r>
    </w:p>
    <w:tbl>
      <w:tblPr>
        <w:tblW w:type="pct" w:w="5000"/>
        <w:tblBorders>
          <w:top w:val="single" w:color="0A1A3A" w:sz="4"/>
          <w:left w:val="none"/>
          <w:bottom w:val="single" w:color="0A1A3A" w:sz="4"/>
          <w:right w:val="none"/>
          <w:insideH w:val="single" w:color="C9D2E3" w:sz="1"/>
          <w:insideV w:val="none"/>
        </w:tblBorders>
      </w:tblPr>
      <w:tblGrid>
        <w:gridCol w:w="879"/>
        <w:gridCol w:w="2636"/>
        <w:gridCol w:w="2636"/>
        <w:gridCol w:w="2636"/>
      </w:tblGrid>
      <w:tr>
        <w:trPr>
          <w:cantSplit/>
          <w:tblHeader/>
        </w:trPr>
        <w:tc>
          <w:tcPr>
            <w:tcW w:type="pct" w:w="5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N</w:t>
            </w:r>
          </w:p>
        </w:tc>
        <w:tc>
          <w:tcPr>
            <w:tcW w:type="pct" w:w="1500"/>
            <w:shd w:fill="0A1A3A" w:val="clear"/>
            <w:tcMar>
              <w:top w:type="dxa" w:w="70"/>
              <w:left w:type="dxa" w:w="120"/>
              <w:bottom w:type="dxa" w:w="70"/>
              <w:right w:type="dxa" w:w="120"/>
            </w:tcMar>
          </w:tcPr>
          <w:p>
            <w:pPr>
              <w:spacing w:line="276"/>
              <w:jc w:val="left"/>
            </w:pPr>
            <w:r>
              <w:rPr>
                <w:rFonts w:ascii="Liberation Sans" w:hAnsi="Liberation Sans"/>
                <w:b/>
                <w:bCs/>
                <w:i w:val="false"/>
                <w:iCs w:val="false"/>
                <w:color w:val="FFFFFF"/>
                <w:sz w:val="21"/>
                <w:szCs w:val="21"/>
              </w:rPr>
              <w:t xml:space="preserve">max Re λ</w:t>
            </w:r>
          </w:p>
        </w:tc>
        <w:tc>
          <w:tcPr>
            <w:tcW w:type="pct" w:w="1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вердикт | verdict</w:t>
            </w:r>
          </w:p>
        </w:tc>
        <w:tc>
          <w:tcPr>
            <w:tcW w:type="pct" w:w="1500"/>
            <w:shd w:fill="0A1A3A" w:val="clear"/>
            <w:tcMar>
              <w:top w:type="dxa" w:w="70"/>
              <w:left w:type="dxa" w:w="120"/>
              <w:bottom w:type="dxa" w:w="70"/>
              <w:right w:type="dxa" w:w="120"/>
            </w:tcMar>
          </w:tcPr>
          <w:p>
            <w:pPr>
              <w:spacing w:line="276"/>
              <w:jc w:val="left"/>
            </w:pPr>
            <w:r>
              <w:rPr>
                <w:rFonts w:ascii="Liberation Sans" w:hAnsi="Liberation Sans"/>
                <w:b/>
                <w:bCs/>
                <w:color w:val="FFFFFF"/>
                <w:sz w:val="21"/>
                <w:szCs w:val="21"/>
              </w:rPr>
              <w:t xml:space="preserve">Хэвелок | Havelock</w:t>
            </w:r>
          </w:p>
        </w:tc>
      </w:tr>
      <w:tr>
        <w:trPr>
          <w:cantSplit/>
          <w:tblHeader w:val="off"/>
        </w:trPr>
        <w:tc>
          <w:tcPr>
            <w:tcW w:type="pct" w:w="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2</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6.9e-10</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r>
      <w:tr>
        <w:trPr>
          <w:cantSplit/>
          <w:tblHeader w:val="off"/>
        </w:trPr>
        <w:tc>
          <w:tcPr>
            <w:tcW w:type="pct" w:w="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0.0</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r>
      <w:tr>
        <w:trPr>
          <w:cantSplit/>
          <w:tblHeader w:val="off"/>
        </w:trPr>
        <w:tc>
          <w:tcPr>
            <w:tcW w:type="pct" w:w="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4</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3.8e-9</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r>
      <w:tr>
        <w:trPr>
          <w:cantSplit/>
          <w:tblHeader w:val="off"/>
        </w:trPr>
        <w:tc>
          <w:tcPr>
            <w:tcW w:type="pct" w:w="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5</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0.0</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r>
      <w:tr>
        <w:trPr>
          <w:cantSplit/>
          <w:tblHeader w:val="off"/>
        </w:trPr>
        <w:tc>
          <w:tcPr>
            <w:tcW w:type="pct" w:w="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6</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0.0</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r>
      <w:tr>
        <w:trPr>
          <w:cantSplit/>
          <w:tblHeader w:val="off"/>
        </w:trPr>
        <w:tc>
          <w:tcPr>
            <w:tcW w:type="pct" w:w="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7</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7.0e-9</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c>
          <w:tcPr>
            <w:tcW w:type="pct" w:w="1500"/>
            <w:shd w:fill="F4F6FA"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устойчиво | stable</w:t>
            </w:r>
          </w:p>
        </w:tc>
      </w:tr>
      <w:tr>
        <w:trPr>
          <w:cantSplit/>
          <w:tblHeader w:val="off"/>
        </w:trPr>
        <w:tc>
          <w:tcPr>
            <w:tcW w:type="pct" w:w="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8</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+0.4502</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неустойчиво | unstable</w:t>
            </w:r>
          </w:p>
        </w:tc>
        <w:tc>
          <w:tcPr>
            <w:tcW w:type="pct" w:w="1500"/>
            <w:shd w:fill="FFFFFF" w:val="clear"/>
            <w:tcMar>
              <w:top w:type="dxa" w:w="70"/>
              <w:left w:type="dxa" w:w="120"/>
              <w:bottom w:type="dxa" w:w="70"/>
              <w:right w:type="dxa" w:w="120"/>
            </w:tcMar>
          </w:tcPr>
          <w:p>
            <w:pPr>
              <w:spacing w:line="276"/>
              <w:jc w:val="left"/>
            </w:pPr>
            <w:r>
              <w:rPr>
                <w:rFonts w:ascii="Liberation Serif" w:hAnsi="Liberation Serif"/>
                <w:color w:val="1A2433"/>
                <w:sz w:val="21"/>
                <w:szCs w:val="21"/>
              </w:rPr>
              <w:t xml:space="preserve">неустойчиво | unstable</w:t>
            </w:r>
          </w:p>
        </w:tc>
      </w:tr>
    </w:tbl>
    <w:p>
      <w:pPr>
        <w:spacing w:after="120"/>
      </w:pPr>
    </w:p>
    <w:p>
      <w:pPr>
        <w:spacing w:after="120" w:line="312"/>
        <w:jc w:val="both"/>
      </w:pPr>
      <w:r>
        <w:rPr>
          <w:rFonts w:ascii="Liberation Serif" w:hAnsi="Liberation Serif"/>
          <w:color w:val="1A2433"/>
          <w:sz w:val="24"/>
          <w:szCs w:val="24"/>
        </w:rPr>
        <w:t xml:space="preserve">The classifier runs at the tolerance </w:t>
      </w:r>
      <w:r>
        <w:rPr>
          <w:rFonts w:ascii="Liberation Serif" w:hAnsi="Liberation Serif"/>
          <w:i w:val="false"/>
          <w:iCs w:val="false"/>
          <w:color w:val="1A2433"/>
          <w:sz w:val="24"/>
          <w:szCs w:val="24"/>
        </w:rPr>
        <w:t xml:space="preserve">10⁻⁷</w:t>
      </w:r>
      <w:r>
        <w:rPr>
          <w:rFonts w:ascii="Liberation Serif" w:hAnsi="Liberation Serif"/>
          <w:color w:val="1A2433"/>
          <w:sz w:val="24"/>
          <w:szCs w:val="24"/>
        </w:rPr>
        <w:t xml:space="preserve"> — three orders above the noise floor and three below the octagon growth rate. The stage verdicts match the Havelock classification at every </w:t>
      </w:r>
      <w:r>
        <w:rPr>
          <w:rFonts w:ascii="Liberation Serif" w:hAnsi="Liberation Serif"/>
          <w:i w:val="false"/>
          <w:iCs w:val="false"/>
          <w:color w:val="1A2433"/>
          <w:sz w:val="24"/>
          <w:szCs w:val="24"/>
        </w:rPr>
        <w:t xml:space="preserve">N ∈ {2,…,8}</w:t>
      </w:r>
      <w:r>
        <w:rPr>
          <w:rFonts w:ascii="Liberation Serif" w:hAnsi="Liberation Serif"/>
          <w:color w:val="1A2433"/>
          <w:sz w:val="24"/>
          <w:szCs w:val="24"/>
        </w:rPr>
        <w:t xml:space="preserve">; the full spectra (the pairs </w:t>
      </w:r>
      <w:r>
        <w:rPr>
          <w:rFonts w:ascii="Liberation Serif" w:hAnsi="Liberation Serif"/>
          <w:i w:val="false"/>
          <w:iCs w:val="false"/>
          <w:color w:val="1A2433"/>
          <w:sz w:val="24"/>
          <w:szCs w:val="24"/>
        </w:rPr>
        <w:t xml:space="preserve">(Reλ, Imλ)</w:t>
      </w:r>
      <w:r>
        <w:rPr>
          <w:rFonts w:ascii="Liberation Serif" w:hAnsi="Liberation Serif"/>
          <w:color w:val="1A2433"/>
          <w:sz w:val="24"/>
          <w:szCs w:val="24"/>
        </w:rPr>
        <w:t xml:space="preserve">) are recorded in the protocol. The picture of the threshold:</w:t>
      </w:r>
    </w:p>
    <w:p>
      <w:pPr>
        <w:spacing w:after="60" w:before="200"/>
        <w:jc w:val="center"/>
      </w:pPr>
      <w:r>
        <w:drawing>
          <wp:inline distT="0" distB="0" distL="0" distR="0">
            <wp:extent cx="5524500" cy="24288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28875"/>
                    </a:xfrm>
                    <a:prstGeom prst="rect">
                      <a:avLst/>
                    </a:prstGeom>
                  </pic:spPr>
                </pic:pic>
              </a:graphicData>
            </a:graphic>
          </wp:inline>
        </w:drawing>
      </w:r>
    </w:p>
    <w:p>
      <w:pPr>
        <w:spacing w:after="200" w:line="276"/>
        <w:jc w:val="center"/>
      </w:pPr>
      <w:r>
        <w:rPr>
          <w:rFonts w:ascii="Liberation Sans" w:hAnsi="Liberation Sans"/>
          <w:i/>
          <w:iCs/>
          <w:color w:val="5A6472"/>
          <w:sz w:val="20"/>
          <w:szCs w:val="20"/>
        </w:rPr>
        <w:t xml:space="preserve">Fig. 1 — Stage W4: left, the maximum $\mathrm{Re}\,\lambda$ across $N$ with the $10^{-7}$ classifier; right, the spectra of the threshold pair $N = 7$ (stable) and $N = 8$ (unstable, the real pair $\pm 0.4502$).</w:t>
      </w:r>
    </w:p>
    <w:p>
      <w:pPr>
        <w:pStyle w:val="Heading1"/>
        <w:keepNext/>
        <w:spacing w:after="160" w:before="400" w:line="312"/>
      </w:pPr>
      <w:bookmarkStart w:name="_Toc110" w:id="110"/>
      <w:r>
        <w:rPr>
          <w:rFonts w:ascii="Liberation Sans" w:hAnsi="Liberation Sans"/>
          <w:b/>
          <w:bCs/>
          <w:color w:val="4F81BD"/>
          <w:sz w:val="32"/>
          <w:szCs w:val="32"/>
        </w:rPr>
        <w:t xml:space="preserve">4. The defective zero and the scope</w:t>
      </w:r>
      <w:bookmarkEnd w:id="110"/>
    </w:p>
    <w:p>
      <w:pPr>
        <w:spacing w:after="120" w:line="312"/>
        <w:jc w:val="both"/>
      </w:pPr>
      <w:r>
        <w:rPr>
          <w:rFonts w:ascii="Liberation Serif" w:hAnsi="Liberation Serif"/>
          <w:color w:val="1A2433"/>
          <w:sz w:val="24"/>
          <w:szCs w:val="24"/>
        </w:rPr>
        <w:t xml:space="preserve">The co-rotating Jacobian of the ring owns a zero eigenvalue of algebraic multiplicity two and geometric multiplicity one: the continuum of rotated polygons is a one-parameter family of equilibria, and along it the linearization must have a zero. Numerically such a defective double zero is split by rounding into a </w:t>
      </w:r>
      <w:r>
        <w:rPr>
          <w:rFonts w:ascii="Liberation Serif" w:hAnsi="Liberation Serif"/>
          <w:i w:val="false"/>
          <w:iCs w:val="false"/>
          <w:color w:val="1A2433"/>
          <w:sz w:val="24"/>
          <w:szCs w:val="24"/>
        </w:rPr>
        <w:t xml:space="preserve">±</w:t>
      </w:r>
      <w:r>
        <w:rPr>
          <w:rFonts w:ascii="Liberation Serif" w:hAnsi="Liberation Serif"/>
          <w:color w:val="1A2433"/>
          <w:sz w:val="24"/>
          <w:szCs w:val="24"/>
        </w:rPr>
        <w:t xml:space="preserve">-real pair of size </w:t>
      </w:r>
      <w:r>
        <w:rPr>
          <w:rFonts w:ascii="Liberation Serif" w:hAnsi="Liberation Serif"/>
          <w:i w:val="false"/>
          <w:iCs w:val="false"/>
          <w:color w:val="1A2433"/>
          <w:sz w:val="24"/>
          <w:szCs w:val="24"/>
        </w:rPr>
        <w:t xml:space="preserve">√(ε_mach |J|) ∼ 10⁻⁹</w:t>
      </w:r>
      <w:r>
        <w:rPr>
          <w:rFonts w:ascii="Liberation Serif" w:hAnsi="Liberation Serif"/>
          <w:color w:val="1A2433"/>
          <w:sz w:val="24"/>
          <w:szCs w:val="24"/>
        </w:rPr>
        <w:t xml:space="preserve"> — exactly the noise floor of the stable table entries (</w:t>
      </w:r>
      <w:r>
        <w:rPr>
          <w:rFonts w:ascii="Liberation Serif" w:hAnsi="Liberation Serif"/>
          <w:i w:val="false"/>
          <w:iCs w:val="false"/>
          <w:color w:val="1A2433"/>
          <w:sz w:val="24"/>
          <w:szCs w:val="24"/>
        </w:rPr>
        <w:t xml:space="preserve">6.9· 10⁻¹⁰</w:t>
      </w:r>
      <w:r>
        <w:rPr>
          <w:rFonts w:ascii="Liberation Serif" w:hAnsi="Liberation Serif"/>
          <w:color w:val="1A2433"/>
          <w:sz w:val="24"/>
          <w:szCs w:val="24"/>
        </w:rPr>
        <w:t xml:space="preserve"> at </w:t>
      </w:r>
      <w:r>
        <w:rPr>
          <w:rFonts w:ascii="Liberation Serif" w:hAnsi="Liberation Serif"/>
          <w:i w:val="false"/>
          <w:iCs w:val="false"/>
          <w:color w:val="1A2433"/>
          <w:sz w:val="24"/>
          <w:szCs w:val="24"/>
        </w:rPr>
        <w:t xml:space="preserve">N=2</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3.8· 10⁻⁹</w:t>
      </w:r>
      <w:r>
        <w:rPr>
          <w:rFonts w:ascii="Liberation Serif" w:hAnsi="Liberation Serif"/>
          <w:color w:val="1A2433"/>
          <w:sz w:val="24"/>
          <w:szCs w:val="24"/>
        </w:rPr>
        <w:t xml:space="preserve"> at </w:t>
      </w:r>
      <w:r>
        <w:rPr>
          <w:rFonts w:ascii="Liberation Serif" w:hAnsi="Liberation Serif"/>
          <w:i w:val="false"/>
          <w:iCs w:val="false"/>
          <w:color w:val="1A2433"/>
          <w:sz w:val="24"/>
          <w:szCs w:val="24"/>
        </w:rPr>
        <w:t xml:space="preserve">N=4</w:t>
      </w:r>
      <w:r>
        <w:rPr>
          <w:rFonts w:ascii="Liberation Serif" w:hAnsi="Liberation Serif"/>
          <w:color w:val="1A2433"/>
          <w:sz w:val="24"/>
          <w:szCs w:val="24"/>
        </w:rPr>
        <w:t xml:space="preserve">, </w:t>
      </w:r>
      <w:r>
        <w:rPr>
          <w:rFonts w:ascii="Liberation Serif" w:hAnsi="Liberation Serif"/>
          <w:i w:val="false"/>
          <w:iCs w:val="false"/>
          <w:color w:val="1A2433"/>
          <w:sz w:val="24"/>
          <w:szCs w:val="24"/>
        </w:rPr>
        <w:t xml:space="preserve">7.0· 10⁻⁹</w:t>
      </w:r>
      <w:r>
        <w:rPr>
          <w:rFonts w:ascii="Liberation Serif" w:hAnsi="Liberation Serif"/>
          <w:color w:val="1A2433"/>
          <w:sz w:val="24"/>
          <w:szCs w:val="24"/>
        </w:rPr>
        <w:t xml:space="preserve"> at </w:t>
      </w:r>
      <w:r>
        <w:rPr>
          <w:rFonts w:ascii="Liberation Serif" w:hAnsi="Liberation Serif"/>
          <w:i w:val="false"/>
          <w:iCs w:val="false"/>
          <w:color w:val="1A2433"/>
          <w:sz w:val="24"/>
          <w:szCs w:val="24"/>
        </w:rPr>
        <w:t xml:space="preserve">N=7</w:t>
      </w:r>
      <w:r>
        <w:rPr>
          <w:rFonts w:ascii="Liberation Serif" w:hAnsi="Liberation Serif"/>
          <w:color w:val="1A2433"/>
          <w:sz w:val="24"/>
          <w:szCs w:val="24"/>
        </w:rPr>
        <w:t xml:space="preserve">; at </w:t>
      </w:r>
      <w:r>
        <w:rPr>
          <w:rFonts w:ascii="Liberation Serif" w:hAnsi="Liberation Serif"/>
          <w:i w:val="false"/>
          <w:iCs w:val="false"/>
          <w:color w:val="1A2433"/>
          <w:sz w:val="24"/>
          <w:szCs w:val="24"/>
        </w:rPr>
        <w:t xml:space="preserve">N = 3, 5, 6</w:t>
      </w:r>
      <w:r>
        <w:rPr>
          <w:rFonts w:ascii="Liberation Serif" w:hAnsi="Liberation Serif"/>
          <w:color w:val="1A2433"/>
          <w:sz w:val="24"/>
          <w:szCs w:val="24"/>
        </w:rPr>
        <w:t xml:space="preserve"> the splitting did not show at all). Hence the classifier tolerance: too low is impossible, too high is dangerous; </w:t>
      </w:r>
      <w:r>
        <w:rPr>
          <w:rFonts w:ascii="Liberation Serif" w:hAnsi="Liberation Serif"/>
          <w:i w:val="false"/>
          <w:iCs w:val="false"/>
          <w:color w:val="1A2433"/>
          <w:sz w:val="24"/>
          <w:szCs w:val="24"/>
        </w:rPr>
        <w:t xml:space="preserve">10⁻⁷</w:t>
      </w:r>
      <w:r>
        <w:rPr>
          <w:rFonts w:ascii="Liberation Serif" w:hAnsi="Liberation Serif"/>
          <w:color w:val="1A2433"/>
          <w:sz w:val="24"/>
          <w:szCs w:val="24"/>
        </w:rPr>
        <w:t xml:space="preserve"> sits in the logarithmic middle.</w:t>
      </w:r>
    </w:p>
    <w:p>
      <w:pPr>
        <w:spacing w:after="120" w:line="312"/>
        <w:jc w:val="both"/>
      </w:pPr>
      <w:r>
        <w:rPr>
          <w:rFonts w:ascii="Liberation Serif" w:hAnsi="Liberation Serif"/>
          <w:color w:val="1A2433"/>
          <w:sz w:val="24"/>
          <w:szCs w:val="24"/>
        </w:rPr>
        <w:t xml:space="preserve">The scope limits are stated in the honesty notes of the mini-repository. The claim is spectral, i.e. linear, stability; nonlinear (Arnold-style) stability is a different, harder statement not made here. The family </w:t>
      </w:r>
      <w:r>
        <w:rPr>
          <w:rFonts w:ascii="Liberation Serif" w:hAnsi="Liberation Serif"/>
          <w:i w:val="false"/>
          <w:iCs w:val="false"/>
          <w:color w:val="1A2433"/>
          <w:sz w:val="24"/>
          <w:szCs w:val="24"/>
        </w:rPr>
        <w:t xml:space="preserve">N = 2..8</w:t>
      </w:r>
      <w:r>
        <w:rPr>
          <w:rFonts w:ascii="Liberation Serif" w:hAnsi="Liberation Serif"/>
          <w:color w:val="1A2433"/>
          <w:sz w:val="24"/>
          <w:szCs w:val="24"/>
        </w:rPr>
        <w:t xml:space="preserve"> is verified; for </w:t>
      </w:r>
      <w:r>
        <w:rPr>
          <w:rFonts w:ascii="Liberation Serif" w:hAnsi="Liberation Serif"/>
          <w:i w:val="false"/>
          <w:iCs w:val="false"/>
          <w:color w:val="1A2433"/>
          <w:sz w:val="24"/>
          <w:szCs w:val="24"/>
        </w:rPr>
        <w:t xml:space="preserve">N ≥ 9</w:t>
      </w:r>
      <w:r>
        <w:rPr>
          <w:rFonts w:ascii="Liberation Serif" w:hAnsi="Liberation Serif"/>
          <w:color w:val="1A2433"/>
          <w:sz w:val="24"/>
          <w:szCs w:val="24"/>
        </w:rPr>
        <w:t xml:space="preserve"> the instability is expected to persist (the Havelock classification), and the ladder extends to larger </w:t>
      </w:r>
      <w:r>
        <w:rPr>
          <w:rFonts w:ascii="Liberation Serif" w:hAnsi="Liberation Serif"/>
          <w:i w:val="false"/>
          <w:iCs w:val="false"/>
          <w:color w:val="1A2433"/>
          <w:sz w:val="24"/>
          <w:szCs w:val="24"/>
        </w:rPr>
        <w:t xml:space="preserve">N</w:t>
      </w:r>
      <w:r>
        <w:rPr>
          <w:rFonts w:ascii="Liberation Serif" w:hAnsi="Liberation Serif"/>
          <w:color w:val="1A2433"/>
          <w:sz w:val="24"/>
          <w:szCs w:val="24"/>
        </w:rPr>
        <w:t xml:space="preserve"> without code changes. Finally, the stability is studied for the ring of the free Layer K; the behavior of a perturbed ring under external shape keeping is a separate problem and does not enter the protocols.</w:t>
      </w:r>
    </w:p>
    <w:p>
      <w:pPr>
        <w:pStyle w:val="Heading1"/>
        <w:keepNext/>
        <w:spacing w:after="160" w:before="400" w:line="312"/>
      </w:pPr>
      <w:bookmarkStart w:name="_Toc111" w:id="111"/>
      <w:r>
        <w:rPr>
          <w:rFonts w:ascii="Liberation Sans" w:hAnsi="Liberation Sans"/>
          <w:b/>
          <w:bCs/>
          <w:color w:val="4F81BD"/>
          <w:sz w:val="32"/>
          <w:szCs w:val="32"/>
        </w:rPr>
        <w:t xml:space="preserve">5. Relation to the formalization roadmap</w:t>
      </w:r>
      <w:bookmarkEnd w:id="111"/>
    </w:p>
    <w:p>
      <w:pPr>
        <w:spacing w:after="120" w:line="312"/>
        <w:jc w:val="both"/>
      </w:pPr>
      <w:r>
        <w:rPr>
          <w:rFonts w:ascii="Liberation Serif" w:hAnsi="Liberation Serif"/>
          <w:color w:val="1A2433"/>
          <w:sz w:val="24"/>
          <w:szCs w:val="24"/>
        </w:rPr>
        <w:t xml:space="preserve">In the formalization queue the threshold appears as item </w:t>
      </w:r>
      <w:r>
        <w:rPr>
          <w:rFonts w:ascii="Liberation Serif" w:hAnsi="Liberation Serif"/>
          <w:b/>
          <w:bCs/>
          <w:color w:val="1A2433"/>
          <w:sz w:val="24"/>
          <w:szCs w:val="24"/>
        </w:rPr>
        <w:t xml:space="preserve">TW5</w:t>
      </w:r>
      <w:r>
        <w:rPr>
          <w:rFonts w:ascii="Liberation Serif" w:hAnsi="Liberation Serif"/>
          <w:color w:val="1A2433"/>
          <w:sz w:val="24"/>
          <w:szCs w:val="24"/>
        </w:rPr>
        <w:t xml:space="preserve"> and feeds the parent item </w:t>
      </w:r>
      <w:r>
        <w:rPr>
          <w:rFonts w:ascii="Liberation Serif" w:hAnsi="Liberation Serif"/>
          <w:b/>
          <w:bCs/>
          <w:color w:val="1A2433"/>
          <w:sz w:val="24"/>
          <w:szCs w:val="24"/>
        </w:rPr>
        <w:t xml:space="preserve">T3</w:t>
      </w:r>
      <w:r>
        <w:rPr>
          <w:rFonts w:ascii="Liberation Serif" w:hAnsi="Liberation Serif"/>
          <w:color w:val="1A2433"/>
          <w:sz w:val="24"/>
          <w:szCs w:val="24"/>
        </w:rPr>
        <w:t xml:space="preserve">. It is the hardest target of the queue: formalization requires the characteristic polynomial over the Fourier mode families (perturbations of the form </w:t>
      </w:r>
      <w:r>
        <w:rPr>
          <w:rFonts w:ascii="Liberation Serif" w:hAnsi="Liberation Serif"/>
          <w:i w:val="false"/>
          <w:iCs w:val="false"/>
          <w:color w:val="1A2433"/>
          <w:sz w:val="24"/>
          <w:szCs w:val="24"/>
        </w:rPr>
        <w:t xml:space="preserve">wₖ = u e^(iμθₖ)</w:t>
      </w:r>
      <w:r>
        <w:rPr>
          <w:rFonts w:ascii="Liberation Serif" w:hAnsi="Liberation Serif"/>
          <w:color w:val="1A2433"/>
          <w:sz w:val="24"/>
          <w:szCs w:val="24"/>
        </w:rPr>
        <w:t xml:space="preserve"> reduce the spectrum to a finite set of polynomials) and a Routh–Hurwitz-type criterion for the negativity of the real parts; both objects are decidable but laborious. An intermediate milestone is the formalization of the defective zero and its splitting, which delivers an honest numerical boundary between "stable" and "noise floor". The W4 protocol with full spectra is the reference oracle of a future port.</w:t>
      </w:r>
    </w:p>
    <w:p>
      <w:pPr>
        <w:pStyle w:val="Heading1"/>
        <w:keepNext/>
        <w:spacing w:after="160" w:before="400" w:line="312"/>
      </w:pPr>
      <w:bookmarkStart w:name="_Toc112" w:id="112"/>
      <w:r>
        <w:rPr>
          <w:rFonts w:ascii="Liberation Sans" w:hAnsi="Liberation Sans"/>
          <w:b/>
          <w:bCs/>
          <w:color w:val="4F81BD"/>
          <w:sz w:val="32"/>
          <w:szCs w:val="32"/>
        </w:rPr>
        <w:t xml:space="preserve">References</w:t>
      </w:r>
      <w:bookmarkEnd w:id="112"/>
    </w:p>
    <w:p>
      <w:pPr>
        <w:pStyle w:val="ListParagraph"/>
        <w:numPr>
          <w:ilvl w:val="0"/>
          <w:numId w:val="2"/>
        </w:numPr>
        <w:spacing w:after="80" w:line="312"/>
        <w:jc w:val="left"/>
      </w:pPr>
      <w:r>
        <w:rPr>
          <w:rFonts w:ascii="Liberation Serif" w:hAnsi="Liberation Serif"/>
          <w:color w:val="1A2433"/>
          <w:sz w:val="24"/>
          <w:szCs w:val="24"/>
        </w:rPr>
        <w:t xml:space="preserve">T. H. Havelock, The stability of motion of vortices, Philosophical Magazine 11 (1931) 617–641.</w:t>
      </w:r>
    </w:p>
    <w:p>
      <w:pPr>
        <w:pStyle w:val="ListParagraph"/>
        <w:numPr>
          <w:ilvl w:val="0"/>
          <w:numId w:val="2"/>
        </w:numPr>
        <w:spacing w:after="80" w:line="312"/>
        <w:jc w:val="left"/>
      </w:pPr>
      <w:r>
        <w:rPr>
          <w:rFonts w:ascii="Liberation Serif" w:hAnsi="Liberation Serif"/>
          <w:color w:val="1A2433"/>
          <w:sz w:val="24"/>
          <w:szCs w:val="24"/>
        </w:rPr>
        <w:t xml:space="preserve">L. G. Khazin, On the stability of regular configurations of vortices, Soviet Physics Doklady 21 (1976).</w:t>
      </w:r>
    </w:p>
    <w:p>
      <w:pPr>
        <w:pStyle w:val="ListParagraph"/>
        <w:numPr>
          <w:ilvl w:val="0"/>
          <w:numId w:val="2"/>
        </w:numPr>
        <w:spacing w:after="80" w:line="312"/>
        <w:jc w:val="left"/>
      </w:pPr>
      <w:r>
        <w:rPr>
          <w:rFonts w:ascii="Liberation Serif" w:hAnsi="Liberation Serif"/>
          <w:color w:val="1A2433"/>
          <w:sz w:val="24"/>
          <w:szCs w:val="24"/>
        </w:rPr>
        <w:t xml:space="preserve">H. Aref, P. K. Newton, M. A. Stremler, T. Tokieda, D. L. Vainchtein, Vortex crystals, Advances in Applied Mechanics 39 (2003) 1–79.</w:t>
      </w:r>
    </w:p>
    <w:p>
      <w:pPr>
        <w:pStyle w:val="ListParagraph"/>
        <w:numPr>
          <w:ilvl w:val="0"/>
          <w:numId w:val="2"/>
        </w:numPr>
        <w:spacing w:after="80" w:line="312"/>
        <w:jc w:val="left"/>
      </w:pPr>
      <w:r>
        <w:rPr>
          <w:rFonts w:ascii="Liberation Serif" w:hAnsi="Liberation Serif"/>
          <w:color w:val="1A2433"/>
          <w:sz w:val="24"/>
          <w:szCs w:val="24"/>
        </w:rPr>
        <w:t xml:space="preserve">Mini-repository monograph: polyvortex/docs/monograph/monograph_EN.md, Sections 3 and 6.3.</w:t>
      </w:r>
    </w:p>
    <w:sectPr>
      <w:footerReference w:type="default" r:id="rId7"/>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2" w:space="4"/>
      </w:pBdr>
      <w:jc w:val="center"/>
    </w:pPr>
    <w:r>
      <w:rPr>
        <w:rFonts w:ascii="Liberation Sans" w:hAnsi="Liberation Sans"/>
        <w:color w:val="5A6472"/>
        <w:sz w:val="18"/>
        <w:szCs w:val="18"/>
      </w:rPr>
      <w:t xml:space="preserve">TRIVORTEX Research Program · polyvortex v1.1.0 · </w:t>
    </w:r>
    <w:r>
      <w:rPr>
        <w:rFonts w:ascii="Liberation Sans" w:hAnsi="Liberation Sans"/>
        <w:color w:val="5A6472"/>
        <w:sz w:val="18"/>
        <w:szCs w:val="18"/>
      </w:rPr>
      <w:fldChar w:fldCharType="begin"/>
      <w:instrText xml:space="preserve">PAGE</w:instrText>
      <w:fldChar w:fldCharType="separate"/>
      <w:fldChar w:fldCharType="end"/>
    </w:r>
    <w:r>
      <w:rPr>
        <w:rFonts w:ascii="Liberation Sans" w:hAnsi="Liberation Sans"/>
        <w:color w:val="5A6472"/>
        <w:sz w:val="18"/>
        <w:szCs w:val="18"/>
      </w:rPr>
      <w:t xml:space="preserve"> / </w:t>
    </w:r>
    <w:r>
      <w:rPr>
        <w:rFonts w:ascii="Liberation Sans" w:hAnsi="Liberation Sans"/>
        <w:color w:val="5A6472"/>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E3" w:sz="2" w:space="4"/>
      </w:pBdr>
      <w:jc w:val="center"/>
    </w:pPr>
    <w:r>
      <w:rPr>
        <w:rFonts w:ascii="Liberation Sans" w:hAnsi="Liberation Sans"/>
        <w:color w:val="5A6472"/>
        <w:sz w:val="18"/>
        <w:szCs w:val="18"/>
      </w:rPr>
      <w:t xml:space="preserve">TRIVORTEX Research Program · polyvortex v1.1.0 · </w:t>
    </w:r>
    <w:r>
      <w:rPr>
        <w:rFonts w:ascii="Liberation Sans" w:hAnsi="Liberation Sans"/>
        <w:color w:val="5A6472"/>
        <w:sz w:val="18"/>
        <w:szCs w:val="18"/>
      </w:rPr>
      <w:fldChar w:fldCharType="begin"/>
      <w:instrText xml:space="preserve"> PAGE \* arabic \* MERGEFORMAT </w:instrText>
      <w:fldChar w:fldCharType="separate"/>
      <w:fldChar w:fldCharType="end"/>
    </w:r>
    <w:r>
      <w:rPr>
        <w:rFonts w:ascii="Liberation Sans" w:hAnsi="Liberation Sans"/>
        <w:color w:val="5A6472"/>
        <w:sz w:val="18"/>
        <w:szCs w:val="18"/>
      </w:rPr>
      <w:t xml:space="preserve"> / </w:t>
    </w:r>
    <w:r>
      <w:rPr>
        <w:rFonts w:ascii="Liberation Sans" w:hAnsi="Liberation Sans"/>
        <w:color w:val="5A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360"/>
      </w:pPr>
    </w:lvl>
  </w:abstractNum>
  <w:abstractNum w:abstractNumId="3" w15:restartNumberingAfterBreak="0">
    <w:multiLevelType w:val="hybridMultilevel"/>
    <w:lvl w:ilvl="0" w:tentative="1">
      <w:start w:val="1"/>
      <w:numFmt w:val="decimal"/>
      <w:lvlText w:val="%1."/>
      <w:lvlJc w:val="left"/>
      <w:pPr>
        <w:ind w:left="640" w:hanging="360"/>
      </w:pPr>
    </w:lvl>
  </w:abstractNum>
  <w:abstractNum w:abstractNumId="4" w15:restartNumberingAfterBreak="0">
    <w:multiLevelType w:val="hybridMultilevel"/>
    <w:lvl w:ilvl="0" w:tentative="1">
      <w:start w:val="1"/>
      <w:numFmt w:val="decimal"/>
      <w:lvlText w:val="%1."/>
      <w:lvlJc w:val="left"/>
      <w:pPr>
        <w:ind w:left="640" w:hanging="360"/>
      </w:pPr>
    </w:lvl>
  </w:abstractNum>
  <w:abstractNum w:abstractNumId="5" w15:restartNumberingAfterBreak="0">
    <w:multiLevelType w:val="hybridMultilevel"/>
    <w:lvl w:ilvl="0" w:tentative="1">
      <w:start w:val="1"/>
      <w:numFmt w:val="decimal"/>
      <w:lvlText w:val="%1."/>
      <w:lvlJc w:val="left"/>
      <w:pPr>
        <w:ind w:left="640" w:hanging="360"/>
      </w:pPr>
    </w:lvl>
  </w:abstractNum>
  <w:abstractNum w:abstractNumId="6" w15:restartNumberingAfterBreak="0">
    <w:multiLevelType w:val="hybridMultilevel"/>
    <w:lvl w:ilvl="0" w:tentative="1">
      <w:start w:val="1"/>
      <w:numFmt w:val="decimal"/>
      <w:lvlText w:val="%1."/>
      <w:lvlJc w:val="left"/>
      <w:pPr>
        <w:ind w:left="640" w:hanging="360"/>
      </w:pPr>
    </w:lvl>
  </w:abstractNum>
  <w:abstractNum w:abstractNumId="7" w15:restartNumberingAfterBreak="0">
    <w:multiLevelType w:val="hybridMultilevel"/>
    <w:lvl w:ilvl="0" w:tentative="1">
      <w:start w:val="1"/>
      <w:numFmt w:val="decimal"/>
      <w:lvlText w:val="%1."/>
      <w:lvlJc w:val="left"/>
      <w:pPr>
        <w:ind w:left="640" w:hanging="360"/>
      </w:pPr>
    </w:lvl>
  </w:abstractNum>
  <w:abstractNum w:abstractNumId="8" w15:restartNumberingAfterBreak="0">
    <w:multiLevelType w:val="hybridMultilevel"/>
    <w:lvl w:ilvl="0" w:tentative="1">
      <w:start w:val="1"/>
      <w:numFmt w:val="decimal"/>
      <w:lvlText w:val="%1."/>
      <w:lvlJc w:val="left"/>
      <w:pPr>
        <w:ind w:left="640" w:hanging="360"/>
      </w:pPr>
    </w:lvl>
  </w:abstractNum>
  <w:abstractNum w:abstractNumId="9" w15:restartNumberingAfterBreak="0">
    <w:multiLevelType w:val="hybridMultilevel"/>
    <w:lvl w:ilvl="0" w:tentative="1">
      <w:start w:val="1"/>
      <w:numFmt w:val="decimal"/>
      <w:lvlText w:val="%1."/>
      <w:lvlJc w:val="left"/>
      <w:pPr>
        <w:ind w:left="640" w:hanging="360"/>
      </w:pPr>
    </w:lvl>
  </w:abstractNum>
  <w:abstractNum w:abstractNumId="10" w15:restartNumberingAfterBreak="0">
    <w:multiLevelType w:val="hybridMultilevel"/>
    <w:lvl w:ilvl="0" w:tentative="1">
      <w:start w:val="1"/>
      <w:numFmt w:val="decimal"/>
      <w:lvlText w:val="%1."/>
      <w:lvlJc w:val="left"/>
      <w:pPr>
        <w:ind w:left="640" w:hanging="360"/>
      </w:pPr>
    </w:lvl>
  </w:abstractNum>
  <w:abstractNum w:abstractNumId="11" w15:restartNumberingAfterBreak="0">
    <w:multiLevelType w:val="hybridMultilevel"/>
    <w:lvl w:ilvl="0" w:tentative="1">
      <w:start w:val="1"/>
      <w:numFmt w:val="decimal"/>
      <w:lvlText w:val="%1."/>
      <w:lvlJc w:val="left"/>
      <w:pPr>
        <w:ind w:left="640" w:hanging="360"/>
      </w:pPr>
    </w:lvl>
  </w:abstractNum>
  <w:abstractNum w:abstractNumId="12" w15:restartNumberingAfterBreak="0">
    <w:multiLevelType w:val="hybridMultilevel"/>
    <w:lvl w:ilvl="0" w:tentative="1">
      <w:start w:val="1"/>
      <w:numFmt w:val="decimal"/>
      <w:lvlText w:val="%1."/>
      <w:lvlJc w:val="left"/>
      <w:pPr>
        <w:ind w:left="640" w:hanging="360"/>
      </w:pPr>
    </w:lvl>
  </w:abstractNum>
  <w:abstractNum w:abstractNumId="13" w15:restartNumberingAfterBreak="0">
    <w:multiLevelType w:val="hybridMultilevel"/>
    <w:lvl w:ilvl="0" w:tentative="1">
      <w:start w:val="1"/>
      <w:numFmt w:val="decimal"/>
      <w:lvlText w:val="%1."/>
      <w:lvlJc w:val="left"/>
      <w:pPr>
        <w:ind w:left="640" w:hanging="360"/>
      </w:pPr>
    </w:lvl>
  </w:abstractNum>
  <w:abstractNum w:abstractNumId="14" w15:restartNumberingAfterBreak="0">
    <w:multiLevelType w:val="hybridMultilevel"/>
    <w:lvl w:ilvl="0" w:tentative="1">
      <w:start w:val="1"/>
      <w:numFmt w:val="decimal"/>
      <w:lvlText w:val="%1."/>
      <w:lvlJc w:val="left"/>
      <w:pPr>
        <w:ind w:left="640" w:hanging="360"/>
      </w:pPr>
    </w:lvl>
  </w:abstractNum>
  <w:abstractNum w:abstractNumId="15" w15:restartNumberingAfterBreak="0">
    <w:multiLevelType w:val="hybridMultilevel"/>
    <w:lvl w:ilvl="0" w:tentative="1">
      <w:start w:val="1"/>
      <w:numFmt w:val="decimal"/>
      <w:lvlText w:val="%1."/>
      <w:lvlJc w:val="left"/>
      <w:pPr>
        <w:ind w:left="640" w:hanging="360"/>
      </w:pPr>
    </w:lvl>
  </w:abstractNum>
  <w:abstractNum w:abstractNumId="16" w15:restartNumberingAfterBreak="0">
    <w:multiLevelType w:val="hybridMultilevel"/>
    <w:lvl w:ilvl="0" w:tentative="1">
      <w:start w:val="1"/>
      <w:numFmt w:val="decimal"/>
      <w:lvlText w:val="%1."/>
      <w:lvlJc w:val="left"/>
      <w:pPr>
        <w:ind w:left="640" w:hanging="360"/>
      </w:pPr>
    </w:lvl>
  </w:abstractNum>
  <w:abstractNum w:abstractNumId="17" w15:restartNumberingAfterBreak="0">
    <w:multiLevelType w:val="hybridMultilevel"/>
    <w:lvl w:ilvl="0" w:tentative="1">
      <w:start w:val="1"/>
      <w:numFmt w:val="decimal"/>
      <w:lvlText w:val="%1."/>
      <w:lvlJc w:val="left"/>
      <w:pPr>
        <w:ind w:left="640" w:hanging="360"/>
      </w:pPr>
    </w:lvl>
  </w:abstractNum>
  <w:abstractNum w:abstractNumId="18" w15:restartNumberingAfterBreak="0">
    <w:multiLevelType w:val="hybridMultilevel"/>
    <w:lvl w:ilvl="0" w:tentative="1">
      <w:start w:val="1"/>
      <w:numFmt w:val="decimal"/>
      <w:lvlText w:val="%1."/>
      <w:lvlJc w:val="left"/>
      <w:pPr>
        <w:ind w:left="640" w:hanging="360"/>
      </w:pPr>
    </w:lvl>
  </w:abstractNum>
  <w:abstractNum w:abstractNumId="19" w15:restartNumberingAfterBreak="0">
    <w:multiLevelType w:val="hybridMultilevel"/>
    <w:lvl w:ilvl="0" w:tentative="1">
      <w:start w:val="1"/>
      <w:numFmt w:val="decimal"/>
      <w:lvlText w:val="%1."/>
      <w:lvlJc w:val="left"/>
      <w:pPr>
        <w:ind w:left="640" w:hanging="360"/>
      </w:pPr>
    </w:lvl>
  </w:abstractNum>
  <w:abstractNum w:abstractNumId="20" w15:restartNumberingAfterBreak="0">
    <w:multiLevelType w:val="hybridMultilevel"/>
    <w:lvl w:ilvl="0" w:tentative="1">
      <w:start w:val="1"/>
      <w:numFmt w:val="decimal"/>
      <w:lvlText w:val="%1."/>
      <w:lvlJc w:val="left"/>
      <w:pPr>
        <w:ind w:left="640" w:hanging="360"/>
      </w:pPr>
    </w:lvl>
  </w:abstractNum>
  <w:abstractNum w:abstractNumId="21" w15:restartNumberingAfterBreak="0">
    <w:multiLevelType w:val="hybridMultilevel"/>
    <w:lvl w:ilvl="0" w:tentative="1">
      <w:start w:val="1"/>
      <w:numFmt w:val="decimal"/>
      <w:lvlText w:val="%1."/>
      <w:lvlJc w:val="left"/>
      <w:pPr>
        <w:ind w:left="640" w:hanging="360"/>
      </w:pPr>
    </w:lvl>
  </w:abstractNum>
  <w:abstractNum w:abstractNumId="22" w15:restartNumberingAfterBreak="0">
    <w:multiLevelType w:val="hybridMultilevel"/>
    <w:lvl w:ilvl="0" w:tentative="1">
      <w:start w:val="1"/>
      <w:numFmt w:val="decimal"/>
      <w:lvlText w:val="%1."/>
      <w:lvlJc w:val="left"/>
      <w:pPr>
        <w:ind w:left="640" w:hanging="360"/>
      </w:pPr>
    </w:lvl>
  </w:abstractNum>
  <w:abstractNum w:abstractNumId="23" w15:restartNumberingAfterBreak="0">
    <w:multiLevelType w:val="hybridMultilevel"/>
    <w:lvl w:ilvl="0" w:tentative="1">
      <w:start w:val="1"/>
      <w:numFmt w:val="decimal"/>
      <w:lvlText w:val="%1."/>
      <w:lvlJc w:val="left"/>
      <w:pPr>
        <w:ind w:left="640" w:hanging="360"/>
      </w:pPr>
    </w:lvl>
  </w:abstractNum>
  <w:abstractNum w:abstractNumId="24" w15:restartNumberingAfterBreak="0">
    <w:multiLevelType w:val="hybridMultilevel"/>
    <w:lvl w:ilvl="0" w:tentative="1">
      <w:start w:val="1"/>
      <w:numFmt w:val="decimal"/>
      <w:lvlText w:val="%1."/>
      <w:lvlJc w:val="left"/>
      <w:pPr>
        <w:ind w:left="640" w:hanging="360"/>
      </w:pPr>
    </w:lvl>
  </w:abstractNum>
  <w:abstractNum w:abstractNumId="25" w15:restartNumberingAfterBreak="0">
    <w:multiLevelType w:val="hybridMultilevel"/>
    <w:lvl w:ilvl="0" w:tentative="1">
      <w:start w:val="1"/>
      <w:numFmt w:val="decimal"/>
      <w:lvlText w:val="%1."/>
      <w:lvlJc w:val="left"/>
      <w:pPr>
        <w:ind w:left="640" w:hanging="360"/>
      </w:pPr>
    </w:lvl>
  </w:abstractNum>
  <w:abstractNum w:abstractNumId="26" w15:restartNumberingAfterBreak="0">
    <w:multiLevelType w:val="hybridMultilevel"/>
    <w:lvl w:ilvl="0" w:tentative="1">
      <w:start w:val="1"/>
      <w:numFmt w:val="decimal"/>
      <w:lvlText w:val="%1."/>
      <w:lvlJc w:val="left"/>
      <w:pPr>
        <w:ind w:left="640" w:hanging="360"/>
      </w:pPr>
    </w:lvl>
  </w:abstractNum>
  <w:abstractNum w:abstractNumId="27" w15:restartNumberingAfterBreak="0">
    <w:multiLevelType w:val="hybridMultilevel"/>
    <w:lvl w:ilvl="0" w:tentative="1">
      <w:start w:val="1"/>
      <w:numFmt w:val="decimal"/>
      <w:lvlText w:val="%1."/>
      <w:lvlJc w:val="left"/>
      <w:pPr>
        <w:ind w:left="640" w:hanging="360"/>
      </w:pPr>
    </w:lvl>
  </w:abstractNum>
  <w:num w:numId="1">
    <w:abstractNumId w:val="1"/>
    <w:lvlOverride w:ilvl="0">
      <w:startOverride w:val="1"/>
    </w:lvlOverride>
  </w:num>
  <w:num w:numId="2">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hAnsi="Liberation Serif"/>
        <w:color w:val="1A2433"/>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80" w:lineRule="atLeast"/>
      <w:outlineLvl w:val="0"/>
    </w:pPr>
    <w:rPr>
      <w:rFonts w:ascii="Liberation Sans" w:hAnsi="Liberation Sans"/>
      <w:b/>
      <w:bCs/>
      <w:color w:val="4F81BD"/>
      <w:sz w:val="32"/>
      <w:szCs w:val="32"/>
    </w:rPr>
  </w:style>
  <w:style w:type="paragraph" w:styleId="Heading2">
    <w:name w:val="Heading 2"/>
    <w:basedOn w:val="Normal"/>
    <w:next w:val="Normal"/>
    <w:qFormat/>
    <w:pPr>
      <w:spacing w:after="140" w:before="300" w:line="340" w:lineRule="atLeast"/>
      <w:outlineLvl w:val="1"/>
    </w:pPr>
    <w:rPr>
      <w:rFonts w:ascii="Liberation Sans" w:hAnsi="Liberation Sans"/>
      <w:b/>
      <w:bCs/>
      <w:color w:val="4F81BD"/>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5c888b823145c3352d00019b77faeba1482d3cc.png"/><Relationship Id="rId10" Type="http://schemas.openxmlformats.org/officeDocument/2006/relationships/image" Target="media/8a92797b479e6dcf99fbc982adf5e7e822fd682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Theorem E: the spectral stability threshold of the N-vortex ring — TRIVORTEX polyvortex v1.1.0</dc:title>
  <dc:creator>Isaev Iskhak Khamzatovich</dc:creator>
  <dc:description>A polyvortex mini-repository theorem monograph</dc:description>
  <cp:lastModifiedBy>Un-named</cp:lastModifiedBy>
  <cp:revision>1</cp:revision>
  <dcterms:created xsi:type="dcterms:W3CDTF">2026-10-08T09:34:28.351Z</dcterms:created>
  <dcterms:modified xsi:type="dcterms:W3CDTF">2026-10-08T09:34:28.351Z</dcterms:modified>
</cp:coreProperties>
</file>

<file path=docProps/custom.xml><?xml version="1.0" encoding="utf-8"?>
<Properties xmlns="http://schemas.openxmlformats.org/officeDocument/2006/custom-properties" xmlns:vt="http://schemas.openxmlformats.org/officeDocument/2006/docPropsVTypes"/>
</file>