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" w:line="520" w:lineRule="atLeast"/>
        <w:jc w:val="center"/>
      </w:pPr>
      <w:r>
        <w:rPr>
          <w:rFonts w:ascii="Liberation Sans" w:hAnsi="Liberation Sans"/>
          <w:b/>
          <w:bCs/>
          <w:color w:val="0A1A3A"/>
          <w:sz w:val="44"/>
          <w:szCs w:val="44"/>
        </w:rPr>
        <w:t xml:space="preserve">Theorem 5. The dichotomy of the ring invariants</w:t>
      </w:r>
    </w:p>
    <w:p>
      <w:pPr>
        <w:spacing w:after="200" w:line="340" w:lineRule="atLeast"/>
        <w:jc w:val="center"/>
      </w:pPr>
      <w:r>
        <w:rPr>
          <w:rFonts w:ascii="Liberation Sans" w:hAnsi="Liberation Sans"/>
          <w:b/>
          <w:bCs/>
          <w:color w:val="4F81BD"/>
          <w:sz w:val="26"/>
          <w:szCs w:val="26"/>
        </w:rPr>
        <w:t xml:space="preserve">The algebraic registers (chords, discriminant, moment) against the transcendental ln-shell of the Hamiltonian</w:t>
      </w:r>
    </w:p>
    <w:p>
      <w:pPr>
        <w:spacing w:after="60" w:line="300"/>
        <w:jc w:val="center"/>
      </w:pPr>
      <w:r>
        <w:rPr>
          <w:rFonts w:ascii="Liberation Serif" w:hAnsi="Liberation Serif"/>
          <w:color w:val="1A2433"/>
          <w:sz w:val="24"/>
          <w:szCs w:val="24"/>
        </w:rPr>
        <w:t xml:space="preserve">Isaev Iskhak Khamzatovich (ORCID 0009-0003-7299-0701)</w:t>
      </w:r>
    </w:p>
    <w:p>
      <w:pPr>
        <w:spacing w:after="240" w:line="276"/>
        <w:jc w:val="center"/>
      </w:pPr>
      <w:r>
        <w:rPr>
          <w:rFonts w:ascii="Liberation Sans" w:hAnsi="Liberation Sans"/>
          <w:i/>
          <w:iCs/>
          <w:color w:val="5A6472"/>
          <w:sz w:val="20"/>
          <w:szCs w:val="20"/>
        </w:rPr>
        <w:t xml:space="preserve">The cycloring research program · v1.0.0 · Theorem Monograph Edition</w:t>
      </w:r>
    </w:p>
    <w:tbl>
      <w:tblPr>
        <w:tblW w:type="pct" w:w="5000"/>
        <w:tblBorders>
          <w:top w:val="single" w:color="0A1A3A" w:sz="4"/>
          <w:left w:val="none"/>
          <w:bottom w:val="single" w:color="0A1A3A" w:sz="4"/>
          <w:right w:val="none"/>
          <w:insideH w:val="single" w:color="C9D2E3" w:sz="1"/>
          <w:insideV w:val="none"/>
        </w:tblBorders>
      </w:tblPr>
      <w:tblGrid>
        <w:gridCol w:w="2636"/>
        <w:gridCol w:w="6152"/>
      </w:tblGrid>
      <w:tr>
        <w:trPr>
          <w:cantSplit/>
          <w:tblHeader/>
        </w:trPr>
        <w:tc>
          <w:tcPr>
            <w:tcW w:type="pct" w:w="150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color w:val="FFFFFF"/>
                <w:sz w:val="21"/>
                <w:szCs w:val="21"/>
              </w:rPr>
              <w:t xml:space="preserve">Study</w:t>
            </w:r>
          </w:p>
        </w:tc>
        <w:tc>
          <w:tcPr>
            <w:tcW w:type="pct" w:w="350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color w:val="FFFFFF"/>
                <w:sz w:val="21"/>
                <w:szCs w:val="21"/>
              </w:rPr>
              <w:t xml:space="preserve">CYCLORING</w:t>
            </w:r>
          </w:p>
        </w:tc>
      </w:tr>
      <w:tr>
        <w:trPr>
          <w:cantSplit/>
          <w:tblHeader w:val="off"/>
        </w:trPr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Study</w:t>
            </w:r>
          </w:p>
        </w:tc>
        <w:tc>
          <w:tcPr>
            <w:tcW w:type="pct" w:w="3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CYCLORING — the Gamma-periods, the defect chain, and the synchronous breathing of a vortex ring</w:t>
            </w:r>
          </w:p>
        </w:tc>
      </w:tr>
      <w:tr>
        <w:trPr>
          <w:cantSplit/>
          <w:tblHeader w:val="off"/>
        </w:trPr>
        <w:tc>
          <w:tcPr>
            <w:tcW w:type="pct" w:w="1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Author</w:t>
            </w:r>
          </w:p>
        </w:tc>
        <w:tc>
          <w:tcPr>
            <w:tcW w:type="pct" w:w="3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Isaev Iskhak Khamzatovich (ORCID 0009-0003-7299-0701)</w:t>
            </w:r>
          </w:p>
        </w:tc>
      </w:tr>
      <w:tr>
        <w:trPr>
          <w:cantSplit/>
          <w:tblHeader w:val="off"/>
        </w:trPr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Version</w:t>
            </w:r>
          </w:p>
        </w:tc>
        <w:tc>
          <w:tcPr>
            <w:tcW w:type="pct" w:w="3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1.0.0 — the theorem monograph edition</w:t>
            </w:r>
          </w:p>
        </w:tc>
      </w:tr>
      <w:tr>
        <w:trPr>
          <w:cantSplit/>
          <w:tblHeader w:val="off"/>
        </w:trPr>
        <w:tc>
          <w:tcPr>
            <w:tcW w:type="pct" w:w="1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Date</w:t>
            </w:r>
          </w:p>
        </w:tc>
        <w:tc>
          <w:tcPr>
            <w:tcW w:type="pct" w:w="3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2026-10-08</w:t>
            </w:r>
          </w:p>
        </w:tc>
      </w:tr>
      <w:tr>
        <w:trPr>
          <w:cantSplit/>
          <w:tblHeader w:val="off"/>
        </w:trPr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Code</w:t>
            </w:r>
          </w:p>
        </w:tc>
        <w:tc>
          <w:tcPr>
            <w:tcW w:type="pct" w:w="3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cycloring/python/cycloring/ (periods · chain · ring · dynamics · ladder · runner · figures)</w:t>
            </w:r>
          </w:p>
        </w:tc>
      </w:tr>
      <w:tr>
        <w:trPr>
          <w:cantSplit/>
          <w:tblHeader w:val="off"/>
        </w:trPr>
        <w:tc>
          <w:tcPr>
            <w:tcW w:type="pct" w:w="1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Data</w:t>
            </w:r>
          </w:p>
        </w:tc>
        <w:tc>
          <w:tcPr>
            <w:tcW w:type="pct" w:w="3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cycloring/results/protocols/W1..W7_default.json</w:t>
            </w:r>
          </w:p>
        </w:tc>
      </w:tr>
      <w:tr>
        <w:trPr>
          <w:cantSplit/>
          <w:tblHeader w:val="off"/>
        </w:trPr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License</w:t>
            </w:r>
          </w:p>
        </w:tc>
        <w:tc>
          <w:tcPr>
            <w:tcW w:type="pct" w:w="3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LicenseRef-Proprietary-Wild8Highlander-1.0</w:t>
            </w:r>
          </w:p>
        </w:tc>
      </w:tr>
    </w:tbl>
    <w:p>
      <w:pPr>
        <w:pageBreakBefore/>
        <w:spacing w:after="240" w:before="200" w:line="400" w:lineRule="atLeast"/>
        <w:jc w:val="center"/>
      </w:pPr>
      <w:r>
        <w:rPr>
          <w:rFonts w:ascii="Liberation Sans" w:hAnsi="Liberation Sans"/>
          <w:b/>
          <w:bCs/>
          <w:color w:val="4F81BD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pPr>
            <w:pStyle w:val="TOC1"/>
            <w:tabs>
              <w:tab w:val="right" w:pos="8788" w:leader="dot"/>
            </w:tabs>
          </w:pPr>
          <w:r>
            <w:fldChar w:fldCharType="begin" w:dirty="true"/>
          </w:r>
          <w:r>
            <w:instrText xml:space="preserve">TOC \h \o "1-2"</w:instrText>
          </w:r>
          <w:r>
            <w:fldChar w:fldCharType="separate"/>
          </w:r>
          <w:hyperlink w:history="1" w:anchor="_Toc77">
            <w:r>
              <w:t xml:space="preserve">Abstract</w:t>
            </w:r>
            <w:r>
              <w:tab/>
            </w:r>
            <w:r>
              <w:fldChar w:fldCharType="begin" w:dirty="true"/>
              <w:instrText xml:space="preserve">PAGEREF _Toc77 \h</w:instrText>
              <w:fldChar w:fldCharType="separate"/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Abstract</w:t>
          </w:r>
          <w:r>
            <w:tab/>
          </w:r>
          <w:r>
            <w:t>1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At a glance</w:t>
          </w:r>
          <w:r>
            <w:tab/>
          </w:r>
          <w:r>
            <w:t>1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1. The algebraic registers</w:t>
          </w:r>
          <w:r>
            <w:tab/>
          </w:r>
          <w:r>
            <w:t>1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2. The closed form of the Hamiltonian</w:t>
          </w:r>
          <w:r>
            <w:tab/>
          </w:r>
          <w:r>
            <w:t>2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3. The agreement with the periodic register</w:t>
          </w:r>
          <w:r>
            <w:tab/>
          </w:r>
          <w:r>
            <w:t>2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4. The numerical certificate</w:t>
          </w:r>
          <w:r>
            <w:tab/>
          </w:r>
          <w:r>
            <w:t>2</w:t>
          </w:r>
        </w:p>
        <w:p>
          <w:r>
            <w:fldChar w:fldCharType="end"/>
          </w:r>
        </w:p>
      </w:sdtContent>
    </w:sdt>
    <w:p>
      <w:pPr>
        <w:spacing w:before="200" w:line="276"/>
        <w:sectPr>
          <w:footerReference w:type="default" r:id="rId6"/>
          <w:pgSz w:w="11906" w:h="16838" w:orient="portrait"/>
          <w:pgMar w:top="1440" w:right="1417" w:bottom="1440" w:left="1701" w:header="850" w:footer="992" w:gutter="0"/>
          <w:docGrid w:linePitch="360"/>
        </w:sectPr>
      </w:pPr>
      <w:r>
        <w:rPr>
          <w:rFonts w:ascii="Liberation Serif" w:hAnsi="Liberation Serif"/>
          <w:i/>
          <w:iCs/>
          <w:color w:val="888888"/>
          <w:sz w:val="18"/>
          <w:szCs w:val="18"/>
        </w:rPr>
        <w:t xml:space="preserve">Note: this Table of Contents is generated via field codes. After editing, right-click the TOC and select "Update Field" to refresh the page numbers.</w:t>
      </w:r>
    </w:p>
    <w:p>
      <w:pPr>
        <w:pStyle w:val="Heading1"/>
        <w:keepNext/>
        <w:spacing w:after="160" w:before="400" w:line="312"/>
      </w:pPr>
      <w:bookmarkStart w:name="_Toc77" w:id="77"/>
      <w:r>
        <w:rPr>
          <w:rFonts w:ascii="Liberation Sans" w:hAnsi="Liberation Sans"/>
          <w:b/>
          <w:bCs/>
          <w:color w:val="4F81BD"/>
          <w:sz w:val="32"/>
          <w:szCs w:val="32"/>
        </w:rPr>
        <w:t xml:space="preserve">Abstract</w:t>
      </w:r>
      <w:bookmarkEnd w:id="77"/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The monograph arranges the classical invariants of the regular N-gon on the algebraic-transcendental scale. The pair-distance product is algebraic: the product of |z_i - z_j| equals R^{N(N-1)/2} N^{N/2}, and the modulus of the discriminant of the binomial z^N - sigma equals N^N|sigma|^{N-1} — both registers are algebraic functions of the radius. The impulse L = 0 and the moment I = N Gamma R^2 are algebraic; the power sums are cyclotomic.</w:t>
      </w:r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The Hamiltonian is the only invariant with a transcendental shell: H(R) = -(Gamma^2/2 pi)[(N(N-1)/2) ln R + (N/2) ln N]. The closed form follows from the sine product of Theorem 2 and is checked against the direct pairwise summation with the error 1e-16. The dichotomy agrees with the periodic register: the boundary algebraic periods serve the algebraic registers, the interior Gamma-periods serve the modulation.</w:t>
      </w:r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Certificates: W4 — the closed form of H against the direct summation 1e-16, the distance product 1.3e-16; W4 also holds the rigid rotation (1.1e-10) and the invariant drifts 2.0e-12.</w:t>
      </w:r>
    </w:p>
    <w:p>
      <w:pPr>
        <w:pStyle w:val="Heading1"/>
        <w:keepNext/>
        <w:spacing w:after="160" w:before="400" w:line="312"/>
      </w:pPr>
      <w:bookmarkStart w:name="_Toc78" w:id="78"/>
      <w:r>
        <w:rPr>
          <w:rFonts w:ascii="Liberation Sans" w:hAnsi="Liberation Sans"/>
          <w:b/>
          <w:bCs/>
          <w:color w:val="4F81BD"/>
          <w:sz w:val="32"/>
          <w:szCs w:val="32"/>
        </w:rPr>
        <w:t xml:space="preserve">At a glance</w:t>
      </w:r>
      <w:bookmarkEnd w:id="78"/>
    </w:p>
    <w:tbl>
      <w:tblPr>
        <w:tblW w:type="pct" w:w="5000"/>
        <w:tblBorders>
          <w:top w:val="single" w:color="0A1A3A" w:sz="4"/>
          <w:left w:val="none"/>
          <w:bottom w:val="single" w:color="0A1A3A" w:sz="4"/>
          <w:right w:val="none"/>
          <w:insideH w:val="single" w:color="C9D2E3" w:sz="1"/>
          <w:insideV w:val="none"/>
        </w:tblBorders>
      </w:tblPr>
      <w:tblGrid>
        <w:gridCol w:w="2988"/>
        <w:gridCol w:w="5800"/>
      </w:tblGrid>
      <w:tr>
        <w:trPr>
          <w:cantSplit/>
          <w:tblHeader/>
        </w:trPr>
        <w:tc>
          <w:tcPr>
            <w:tcW w:type="pct" w:w="170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color w:val="FFFFFF"/>
                <w:sz w:val="21"/>
                <w:szCs w:val="21"/>
              </w:rPr>
              <w:t xml:space="preserve">Distance product</w:t>
            </w:r>
          </w:p>
        </w:tc>
        <w:tc>
          <w:tcPr>
            <w:tcW w:type="pct" w:w="330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color w:val="FFFFFF"/>
                <w:sz w:val="21"/>
                <w:szCs w:val="21"/>
              </w:rPr>
              <w:t xml:space="preserve">the product of |z_i-z_j| = R^{N(N-1)/2} N^{N/2}</w:t>
            </w:r>
          </w:p>
        </w:tc>
      </w:tr>
      <w:tr>
        <w:trPr>
          <w:cantSplit/>
          <w:tblHeader w:val="off"/>
        </w:trPr>
        <w:tc>
          <w:tcPr>
            <w:tcW w:type="pct" w:w="1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Discriminant</w:t>
            </w:r>
          </w:p>
        </w:tc>
        <w:tc>
          <w:tcPr>
            <w:tcW w:type="pct" w:w="3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|disc(z^N - sigma)| = N^N |sigma|^{N-1}</w:t>
            </w:r>
          </w:p>
        </w:tc>
      </w:tr>
      <w:tr>
        <w:trPr>
          <w:cantSplit/>
          <w:tblHeader w:val="off"/>
        </w:trPr>
        <w:tc>
          <w:tcPr>
            <w:tcW w:type="pct" w:w="17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Impulse and moment</w:t>
            </w:r>
          </w:p>
        </w:tc>
        <w:tc>
          <w:tcPr>
            <w:tcW w:type="pct" w:w="33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L = 0; I = N Gamma R^2 — algebraic</w:t>
            </w:r>
          </w:p>
        </w:tc>
      </w:tr>
      <w:tr>
        <w:trPr>
          <w:cantSplit/>
          <w:tblHeader w:val="off"/>
        </w:trPr>
        <w:tc>
          <w:tcPr>
            <w:tcW w:type="pct" w:w="1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Hamiltonian</w:t>
            </w:r>
          </w:p>
        </w:tc>
        <w:tc>
          <w:tcPr>
            <w:tcW w:type="pct" w:w="3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H(R) = -(Gamma^2/2 pi)[(N(N-1)/2) ln R + (N/2) ln N]</w:t>
            </w:r>
          </w:p>
        </w:tc>
      </w:tr>
      <w:tr>
        <w:trPr>
          <w:cantSplit/>
          <w:tblHeader w:val="off"/>
        </w:trPr>
        <w:tc>
          <w:tcPr>
            <w:tcW w:type="pct" w:w="17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The shell</w:t>
            </w:r>
          </w:p>
        </w:tc>
        <w:tc>
          <w:tcPr>
            <w:tcW w:type="pct" w:w="33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the only transcendence — ln R</w:t>
            </w:r>
          </w:p>
        </w:tc>
      </w:tr>
      <w:tr>
        <w:trPr>
          <w:cantSplit/>
          <w:tblHeader w:val="off"/>
        </w:trPr>
        <w:tc>
          <w:tcPr>
            <w:tcW w:type="pct" w:w="1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Certificate</w:t>
            </w:r>
          </w:p>
        </w:tc>
        <w:tc>
          <w:tcPr>
            <w:tcW w:type="pct" w:w="3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W4: 1e-16 (the H form), 1.3e-16 (the product)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60" w:before="400" w:line="312"/>
      </w:pPr>
      <w:bookmarkStart w:name="_Toc79" w:id="79"/>
      <w:r>
        <w:rPr>
          <w:rFonts w:ascii="Liberation Sans" w:hAnsi="Liberation Sans"/>
          <w:b/>
          <w:bCs/>
          <w:color w:val="4F81BD"/>
          <w:sz w:val="32"/>
          <w:szCs w:val="32"/>
        </w:rPr>
        <w:t xml:space="preserve">1. The algebraic registers</w:t>
      </w:r>
      <w:bookmarkEnd w:id="79"/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The distance between the vertices is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R|1 - ζ_N^(j-i)|</w:t>
      </w:r>
      <w:r>
        <w:rPr>
          <w:rFonts w:ascii="Liberation Serif" w:hAnsi="Liberation Serif"/>
          <w:color w:val="1A2433"/>
          <w:sz w:val="24"/>
          <w:szCs w:val="24"/>
        </w:rPr>
        <w:t xml:space="preserve">, so the product over the pairs splits into the radius power and the chord product: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∏_i&lt;j|zᵢ - zⱼ| = R^(N(N-1)/2)∏ₘ|1-ζ_Nᵐ|^(N/2)</w:t>
      </w:r>
      <w:r>
        <w:rPr>
          <w:rFonts w:ascii="Liberation Serif" w:hAnsi="Liberation Serif"/>
          <w:color w:val="1A2433"/>
          <w:sz w:val="24"/>
          <w:szCs w:val="24"/>
        </w:rPr>
        <w:t xml:space="preserve">. By the sine product of Theorem 2 the second factor equals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N^(N/2)</w:t>
      </w:r>
      <w:r>
        <w:rPr>
          <w:rFonts w:ascii="Liberation Serif" w:hAnsi="Liberation Serif"/>
          <w:color w:val="1A2433"/>
          <w:sz w:val="24"/>
          <w:szCs w:val="24"/>
        </w:rPr>
        <w:t xml:space="preserve"> — the register is algebraic in R. The discriminant of the binomial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z^(N) - σ</w:t>
      </w:r>
      <w:r>
        <w:rPr>
          <w:rFonts w:ascii="Liberation Serif" w:hAnsi="Liberation Serif"/>
          <w:color w:val="1A2433"/>
          <w:sz w:val="24"/>
          <w:szCs w:val="24"/>
        </w:rPr>
        <w:t xml:space="preserve"> equals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(-1)^(N(N-1)/2)N^(N)σ^(N-1)</w:t>
      </w:r>
      <w:r>
        <w:rPr>
          <w:rFonts w:ascii="Liberation Serif" w:hAnsi="Liberation Serif"/>
          <w:color w:val="1A2433"/>
          <w:sz w:val="24"/>
          <w:szCs w:val="24"/>
        </w:rPr>
        <w:t xml:space="preserve">; the root system of Theorem 1 links it to the squared product of the root differences.</w:t>
      </w:r>
    </w:p>
    <w:p>
      <w:pPr>
        <w:spacing w:after="140" w:before="140"/>
        <w:jc w:val="center"/>
      </w:pPr>
      <w:r>
        <w:drawing>
          <wp:inline distT="0" distB="0" distL="0" distR="0">
            <wp:extent cx="4648200" cy="514350"/>
            <wp:effectExtent t="0" r="0" b="0" l="0"/>
            <wp:docPr id="8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keepNext/>
        <w:spacing w:after="160" w:before="400" w:line="312"/>
      </w:pPr>
      <w:bookmarkStart w:name="_Toc80" w:id="80"/>
      <w:r>
        <w:rPr>
          <w:rFonts w:ascii="Liberation Sans" w:hAnsi="Liberation Sans"/>
          <w:b/>
          <w:bCs/>
          <w:color w:val="4F81BD"/>
          <w:sz w:val="32"/>
          <w:szCs w:val="32"/>
        </w:rPr>
        <w:t xml:space="preserve">2. The closed form of the Hamiltonian</w:t>
      </w:r>
      <w:bookmarkEnd w:id="80"/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The logarithm of the product from item 1 is exactly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Σ_i&lt;jln|zᵢ - zⱼ|</w:t>
      </w:r>
      <w:r>
        <w:rPr>
          <w:rFonts w:ascii="Liberation Serif" w:hAnsi="Liberation Serif"/>
          <w:color w:val="1A2433"/>
          <w:sz w:val="24"/>
          <w:szCs w:val="24"/>
        </w:rPr>
        <w:t xml:space="preserve">. The substitution into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H = -(1/2π)Σ_i&lt;jΓᵢΓⱼln|zᵢ - zⱼ|</w:t>
      </w:r>
      <w:r>
        <w:rPr>
          <w:rFonts w:ascii="Liberation Serif" w:hAnsi="Liberation Serif"/>
          <w:color w:val="1A2433"/>
          <w:sz w:val="24"/>
          <w:szCs w:val="24"/>
        </w:rPr>
        <w:t xml:space="preserve"> gives the closed form: the term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(N/2)ln N</w:t>
      </w:r>
      <w:r>
        <w:rPr>
          <w:rFonts w:ascii="Liberation Serif" w:hAnsi="Liberation Serif"/>
          <w:color w:val="1A2433"/>
          <w:sz w:val="24"/>
          <w:szCs w:val="24"/>
        </w:rPr>
        <w:t xml:space="preserve"> is the constant of the level (the algebraic part inside the shell), and the term with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ln R</w:t>
      </w:r>
      <w:r>
        <w:rPr>
          <w:rFonts w:ascii="Liberation Serif" w:hAnsi="Liberation Serif"/>
          <w:color w:val="1A2433"/>
          <w:sz w:val="24"/>
          <w:szCs w:val="24"/>
        </w:rPr>
        <w:t xml:space="preserve"> is the only transcendence. The impulse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L = 0</w:t>
      </w:r>
      <w:r>
        <w:rPr>
          <w:rFonts w:ascii="Liberation Serif" w:hAnsi="Liberation Serif"/>
          <w:color w:val="1A2433"/>
          <w:sz w:val="24"/>
          <w:szCs w:val="24"/>
        </w:rPr>
        <w:t xml:space="preserve"> is Theorem 1; the moment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I = ΣₖΓ|zₖ|² = NΓ R²</w:t>
      </w:r>
      <w:r>
        <w:rPr>
          <w:rFonts w:ascii="Liberation Serif" w:hAnsi="Liberation Serif"/>
          <w:color w:val="1A2433"/>
          <w:sz w:val="24"/>
          <w:szCs w:val="24"/>
        </w:rPr>
        <w:t xml:space="preserve"> is a direct computation.</w:t>
      </w:r>
    </w:p>
    <w:p>
      <w:pPr>
        <w:spacing w:after="140" w:before="140"/>
        <w:jc w:val="center"/>
      </w:pPr>
      <w:r>
        <w:drawing>
          <wp:inline distT="0" distB="0" distL="0" distR="0">
            <wp:extent cx="2886075" cy="361950"/>
            <wp:effectExtent t="0" r="0" b="0" l="0"/>
            <wp:docPr id="8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607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keepNext/>
        <w:spacing w:after="160" w:before="400" w:line="312"/>
      </w:pPr>
      <w:bookmarkStart w:name="_Toc81" w:id="81"/>
      <w:r>
        <w:rPr>
          <w:rFonts w:ascii="Liberation Sans" w:hAnsi="Liberation Sans"/>
          <w:b/>
          <w:bCs/>
          <w:color w:val="4F81BD"/>
          <w:sz w:val="32"/>
          <w:szCs w:val="32"/>
        </w:rPr>
        <w:t xml:space="preserve">3. The agreement with the periodic register</w:t>
      </w:r>
      <w:bookmarkEnd w:id="81"/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The dichotomy of the invariants mirrors the dichotomy of the periods: the boundary algebraic multiples of pi (Theorem 2) serve the chords, the discriminant and the moment; the interior Gamma-periods through the witness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W_N</w:t>
      </w:r>
      <w:r>
        <w:rPr>
          <w:rFonts w:ascii="Liberation Serif" w:hAnsi="Liberation Serif"/>
          <w:color w:val="1A2433"/>
          <w:sz w:val="24"/>
          <w:szCs w:val="24"/>
        </w:rPr>
        <w:t xml:space="preserve"> serve the modulation — the amplitude and the frequency of the breathing (Theorem 3). At the levels N = 7, 9, 15, 30 the transducer table ties the two sides together: the higher the level, the stiffer the ring and the closer its invariants stay to the algebraic branch.</w:t>
      </w:r>
    </w:p>
    <w:p>
      <w:pPr>
        <w:spacing w:after="60" w:before="200"/>
        <w:jc w:val="center"/>
      </w:pPr>
      <w:r>
        <w:drawing>
          <wp:inline distT="0" distB="0" distL="0" distR="0">
            <wp:extent cx="5524500" cy="2286000"/>
            <wp:effectExtent t="0" r="0" b="0" l="0"/>
            <wp:docPr id="8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</w:pPr>
      <w:r>
        <w:rPr>
          <w:rFonts w:ascii="Liberation Sans" w:hAnsi="Liberation Sans"/>
          <w:i/>
          <w:iCs/>
          <w:color w:val="5A6472"/>
          <w:sz w:val="20"/>
          <w:szCs w:val="20"/>
        </w:rPr>
        <w:t xml:space="preserve">The periods and the Hamiltonian: the algebraic part and the transcendental shell.</w:t>
      </w:r>
    </w:p>
    <w:p>
      <w:pPr>
        <w:pStyle w:val="Heading1"/>
        <w:keepNext/>
        <w:spacing w:after="160" w:before="400" w:line="312"/>
      </w:pPr>
      <w:bookmarkStart w:name="_Toc82" w:id="82"/>
      <w:r>
        <w:rPr>
          <w:rFonts w:ascii="Liberation Sans" w:hAnsi="Liberation Sans"/>
          <w:b/>
          <w:bCs/>
          <w:color w:val="4F81BD"/>
          <w:sz w:val="32"/>
          <w:szCs w:val="32"/>
        </w:rPr>
        <w:t xml:space="preserve">4. The numerical certificate</w:t>
      </w:r>
      <w:bookmarkEnd w:id="82"/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Stage W4 (N = 7, RK4, two turns): the closed form of H matches the direct pairwise summation with the relative error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10⁻¹⁶</w:t>
      </w:r>
      <w:r>
        <w:rPr>
          <w:rFonts w:ascii="Liberation Serif" w:hAnsi="Liberation Serif"/>
          <w:color w:val="1A2433"/>
          <w:sz w:val="24"/>
          <w:szCs w:val="24"/>
        </w:rPr>
        <w:t xml:space="preserve">; the distance product — with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1.3 · 10⁻¹⁶</w:t>
      </w:r>
      <w:r>
        <w:rPr>
          <w:rFonts w:ascii="Liberation Serif" w:hAnsi="Liberation Serif"/>
          <w:color w:val="1A2433"/>
          <w:sz w:val="24"/>
          <w:szCs w:val="24"/>
        </w:rPr>
        <w:t xml:space="preserve">; the measured rotation rate is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1.1 · 10⁻¹⁰</w:t>
      </w:r>
      <w:r>
        <w:rPr>
          <w:rFonts w:ascii="Liberation Serif" w:hAnsi="Liberation Serif"/>
          <w:color w:val="1A2433"/>
          <w:sz w:val="24"/>
          <w:szCs w:val="24"/>
        </w:rPr>
        <w:t xml:space="preserve"> off the formula; the drifts of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H, P, Q, I</w:t>
      </w:r>
      <w:r>
        <w:rPr>
          <w:rFonts w:ascii="Liberation Serif" w:hAnsi="Liberation Serif"/>
          <w:color w:val="1A2433"/>
          <w:sz w:val="24"/>
          <w:szCs w:val="24"/>
        </w:rPr>
        <w:t xml:space="preserve"> stay within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2.0 · 10⁻¹²</w:t>
      </w:r>
      <w:r>
        <w:rPr>
          <w:rFonts w:ascii="Liberation Serif" w:hAnsi="Liberation Serif"/>
          <w:color w:val="1A2433"/>
          <w:sz w:val="24"/>
          <w:szCs w:val="24"/>
        </w:rPr>
        <w:t xml:space="preserve">. The protocol is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W4_polygon_flow_default.json</w:t>
      </w:r>
      <w:r>
        <w:rPr>
          <w:rFonts w:ascii="Liberation Serif" w:hAnsi="Liberation Serif"/>
          <w:color w:val="1A2433"/>
          <w:sz w:val="24"/>
          <w:szCs w:val="24"/>
        </w:rPr>
        <w:t xml:space="preserve">.</w:t>
      </w:r>
    </w:p>
    <w:p>
      <w:pPr>
        <w:keepNext/>
        <w:spacing w:after="80" w:before="160" w:line="276"/>
      </w:pPr>
      <w:r>
        <w:rPr>
          <w:rFonts w:ascii="Liberation Sans" w:hAnsi="Liberation Sans"/>
          <w:b/>
          <w:bCs/>
          <w:color w:val="5A6472"/>
          <w:sz w:val="21"/>
          <w:szCs w:val="21"/>
        </w:rPr>
        <w:t xml:space="preserve">The registers of stage W4 (default preset)</w:t>
      </w:r>
    </w:p>
    <w:tbl>
      <w:tblPr>
        <w:tblW w:type="pct" w:w="5000"/>
        <w:tblBorders>
          <w:top w:val="single" w:color="0A1A3A" w:sz="4"/>
          <w:left w:val="none"/>
          <w:bottom w:val="single" w:color="0A1A3A" w:sz="4"/>
          <w:right w:val="none"/>
          <w:insideH w:val="single" w:color="C9D2E3" w:sz="1"/>
          <w:insideV w:val="none"/>
        </w:tblBorders>
      </w:tblPr>
      <w:tblGrid>
        <w:gridCol w:w="1230"/>
        <w:gridCol w:w="3779"/>
        <w:gridCol w:w="3779"/>
      </w:tblGrid>
      <w:tr>
        <w:trPr>
          <w:cantSplit/>
          <w:tblHeader/>
        </w:trPr>
        <w:tc>
          <w:tcPr>
            <w:tcW w:type="pct" w:w="70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color w:val="FFFFFF"/>
                <w:sz w:val="21"/>
                <w:szCs w:val="21"/>
              </w:rPr>
              <w:t xml:space="preserve">register</w:t>
            </w:r>
          </w:p>
        </w:tc>
        <w:tc>
          <w:tcPr>
            <w:tcW w:type="pct" w:w="215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color w:val="FFFFFF"/>
                <w:sz w:val="21"/>
                <w:szCs w:val="21"/>
              </w:rPr>
              <w:t xml:space="preserve">tolerance</w:t>
            </w:r>
          </w:p>
        </w:tc>
        <w:tc>
          <w:tcPr>
            <w:tcW w:type="pct" w:w="215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color w:val="FFFFFF"/>
                <w:sz w:val="21"/>
                <w:szCs w:val="21"/>
              </w:rPr>
              <w:t xml:space="preserve">result</w:t>
            </w:r>
          </w:p>
        </w:tc>
      </w:tr>
      <w:tr>
        <w:trPr>
          <w:cantSplit/>
          <w:tblHeader w:val="off"/>
        </w:trPr>
        <w:tc>
          <w:tcPr>
            <w:tcW w:type="pct" w:w="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rotation rate omega_L</w:t>
            </w:r>
          </w:p>
        </w:tc>
        <w:tc>
          <w:tcPr>
            <w:tcW w:type="pct" w:w="21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1e-9</w:t>
            </w:r>
          </w:p>
        </w:tc>
        <w:tc>
          <w:tcPr>
            <w:tcW w:type="pct" w:w="21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1.1e-10</w:t>
            </w:r>
          </w:p>
        </w:tc>
      </w:tr>
      <w:tr>
        <w:trPr>
          <w:cantSplit/>
          <w:tblHeader w:val="off"/>
        </w:trPr>
        <w:tc>
          <w:tcPr>
            <w:tcW w:type="pct" w:w="7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radius drift (shape)</w:t>
            </w:r>
          </w:p>
        </w:tc>
        <w:tc>
          <w:tcPr>
            <w:tcW w:type="pct" w:w="215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1e-10</w:t>
            </w:r>
          </w:p>
        </w:tc>
        <w:tc>
          <w:tcPr>
            <w:tcW w:type="pct" w:w="215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6.5e-13</w:t>
            </w:r>
          </w:p>
        </w:tc>
      </w:tr>
      <w:tr>
        <w:trPr>
          <w:cantSplit/>
          <w:tblHeader w:val="off"/>
        </w:trPr>
        <w:tc>
          <w:tcPr>
            <w:tcW w:type="pct" w:w="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drifts of H, P, Q, I</w:t>
            </w:r>
          </w:p>
        </w:tc>
        <w:tc>
          <w:tcPr>
            <w:tcW w:type="pct" w:w="21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1e-12</w:t>
            </w:r>
          </w:p>
        </w:tc>
        <w:tc>
          <w:tcPr>
            <w:tcW w:type="pct" w:w="21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2.0e-12</w:t>
            </w:r>
          </w:p>
        </w:tc>
      </w:tr>
      <w:tr>
        <w:trPr>
          <w:cantSplit/>
          <w:tblHeader w:val="off"/>
        </w:trPr>
        <w:tc>
          <w:tcPr>
            <w:tcW w:type="pct" w:w="7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the closed form of H</w:t>
            </w:r>
          </w:p>
        </w:tc>
        <w:tc>
          <w:tcPr>
            <w:tcW w:type="pct" w:w="215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1e-12</w:t>
            </w:r>
          </w:p>
        </w:tc>
        <w:tc>
          <w:tcPr>
            <w:tcW w:type="pct" w:w="215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1e-16</w:t>
            </w:r>
          </w:p>
        </w:tc>
      </w:tr>
      <w:tr>
        <w:trPr>
          <w:cantSplit/>
          <w:tblHeader w:val="off"/>
        </w:trPr>
        <w:tc>
          <w:tcPr>
            <w:tcW w:type="pct" w:w="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the distance product</w:t>
            </w:r>
          </w:p>
        </w:tc>
        <w:tc>
          <w:tcPr>
            <w:tcW w:type="pct" w:w="21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1e-12</w:t>
            </w:r>
          </w:p>
        </w:tc>
        <w:tc>
          <w:tcPr>
            <w:tcW w:type="pct" w:w="21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1.3e-16</w:t>
            </w:r>
          </w:p>
        </w:tc>
      </w:tr>
    </w:tbl>
    <w:p>
      <w:pPr>
        <w:spacing w:after="120"/>
      </w:pPr>
    </w:p>
    <w:sectPr>
      <w:footerReference w:type="default" r:id="rId7"/>
      <w:type w:val="nextPage"/>
      <w:pgSz w:w="11906" w:h="16838" w:orient="portrait"/>
      <w:pgMar w:top="1440" w:right="1417" w:bottom="1440" w:left="1701" w:header="850" w:footer="992" w:gutter="0"/>
      <w:pgNumType w:start="1" w:fmt="decimal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2E3" w:sz="2" w:space="4"/>
      </w:pBdr>
      <w:jc w:val="center"/>
    </w:pPr>
    <w:r>
      <w:rPr>
        <w:rFonts w:ascii="Liberation Sans" w:hAnsi="Liberation Sans"/>
        <w:color w:val="5A6472"/>
        <w:sz w:val="18"/>
        <w:szCs w:val="18"/>
      </w:rPr>
      <w:t xml:space="preserve">cycloring · v1.0.0 · </w:t>
    </w:r>
    <w:r>
      <w:rPr>
        <w:rFonts w:ascii="Liberation Sans" w:hAnsi="Liberation Sans"/>
        <w:color w:val="5A6472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Liberation Sans" w:hAnsi="Liberation Sans"/>
        <w:color w:val="5A6472"/>
        <w:sz w:val="18"/>
        <w:szCs w:val="18"/>
      </w:rPr>
      <w:t xml:space="preserve"> / </w:t>
    </w:r>
    <w:r>
      <w:rPr>
        <w:rFonts w:ascii="Liberation Sans" w:hAnsi="Liberation Sans"/>
        <w:color w:val="5A6472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2E3" w:sz="2" w:space="4"/>
      </w:pBdr>
      <w:jc w:val="center"/>
    </w:pPr>
    <w:r>
      <w:rPr>
        <w:rFonts w:ascii="Liberation Sans" w:hAnsi="Liberation Sans"/>
        <w:color w:val="5A6472"/>
        <w:sz w:val="18"/>
        <w:szCs w:val="18"/>
      </w:rPr>
      <w:t xml:space="preserve">cycloring · v1.0.0 · </w:t>
    </w:r>
    <w:r>
      <w:rPr>
        <w:rFonts w:ascii="Liberation Sans" w:hAnsi="Liberation Sans"/>
        <w:color w:val="5A6472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  <w:r>
      <w:rPr>
        <w:rFonts w:ascii="Liberation Sans" w:hAnsi="Liberation Sans"/>
        <w:color w:val="5A6472"/>
        <w:sz w:val="18"/>
        <w:szCs w:val="18"/>
      </w:rPr>
      <w:t xml:space="preserve"> / </w:t>
    </w:r>
    <w:r>
      <w:rPr>
        <w:rFonts w:ascii="Liberation Sans" w:hAnsi="Liberation Sans"/>
        <w:color w:val="5A6472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tru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hAnsi="Liberation Serif"/>
        <w:color w:val="1A2433"/>
        <w:sz w:val="24"/>
        <w:szCs w:val="24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400" w:line="380" w:lineRule="atLeast"/>
      <w:outlineLvl w:val="0"/>
    </w:pPr>
    <w:rPr>
      <w:rFonts w:ascii="Liberation Sans" w:hAnsi="Liberation Sans"/>
      <w:b/>
      <w:bCs/>
      <w:color w:val="4F81B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300" w:line="340" w:lineRule="atLeast"/>
      <w:outlineLvl w:val="1"/>
    </w:pPr>
    <w:rPr>
      <w:rFonts w:ascii="Liberation Sans" w:hAnsi="Liberation Sans"/>
      <w:b/>
      <w:bCs/>
      <w:color w:val="4F81BD"/>
      <w:sz w:val="28"/>
      <w:szCs w:val="28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theme" Target="theme/theme1.xml"/><Relationship Id="rId9" Type="http://schemas.openxmlformats.org/officeDocument/2006/relationships/image" Target="media/e5f945019c29bd933e33494a24abba6cc892d162.png"/><Relationship Id="rId10" Type="http://schemas.openxmlformats.org/officeDocument/2006/relationships/image" Target="media/ca4ed7f6a9ef22a93289ce91b19d82beac3d730e.png"/><Relationship Id="rId11" Type="http://schemas.openxmlformats.org/officeDocument/2006/relationships/image" Target="media/8e47c0ed2e882e08115dc9db88514825dca8fd34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Theorem 5. The dichotomy of the ring invariants — cycloring v1.0.0</dc:title>
  <dc:creator>Isaev Iskhak Khamzatovich</dc:creator>
  <dc:description>The algebraic registers (chords, discriminant, moment) against the transcendental ln-shell of the Hamiltonian</dc:description>
  <cp:lastModifiedBy>Un-named</cp:lastModifiedBy>
  <cp:revision>1</cp:revision>
  <dcterms:created xsi:type="dcterms:W3CDTF">2026-10-08T10:42:25.632Z</dcterms:created>
  <dcterms:modified xsi:type="dcterms:W3CDTF">2026-10-08T10:42:25.632Z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