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034"/>
            </w:pPr>
          </w:p>
          <w:p>
            <w:pPr>
              <w:spacing w:after="200" w:line="460" w:lineRule="atLeast"/>
              <w:jc w:val="center"/>
            </w:pPr>
            <w:r>
              <w:rPr>
                <w:rFonts w:ascii="Times New Roman" w:cs="Times New Roman" w:eastAsia="Times New Roman" w:hAnsi="Times New Roman"/>
                <w:spacing w:val="40"/>
                <w:sz w:val="40"/>
                <w:szCs w:val="40"/>
              </w:rPr>
              <w:t xml:space="preserve">AB-CLOUD RESEARCH</w:t>
            </w:r>
          </w:p>
          <w:p>
            <w:pPr>
              <w:spacing w:after="500" w:line="345" w:lineRule="atLeast"/>
              <w:jc w:val="center"/>
            </w:pPr>
            <w:r>
              <w:rPr>
                <w:rFonts w:ascii="Times New Roman" w:cs="Times New Roman" w:eastAsia="Times New Roman" w:hAnsi="Times New Roman"/>
                <w:color w:val="404040"/>
                <w:sz w:val="30"/>
                <w:szCs w:val="30"/>
              </w:rPr>
              <w:t xml:space="preserve">Монография · Исследование W1</w:t>
            </w:r>
          </w:p>
          <w:p>
            <w:pPr>
              <w:spacing w:after="120" w:line="828" w:lineRule="atLeas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72"/>
                <w:szCs w:val="72"/>
              </w:rPr>
              <w:t xml:space="preserve">Гиперболические</w:t>
            </w:r>
          </w:p>
          <w:p>
            <w:pPr>
              <w:spacing w:after="300" w:line="828" w:lineRule="atLeast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72"/>
                <w:szCs w:val="72"/>
              </w:rPr>
              <w:t xml:space="preserve">волновые аттракторы</w:t>
            </w:r>
          </w:p>
          <w:p>
            <w:pPr>
              <w:spacing w:after="120" w:line="299" w:lineRule="atLeast"/>
              <w:jc w:val="center"/>
            </w:pPr>
            <w:r>
              <w:rPr>
                <w:rFonts w:ascii="Times New Roman" w:cs="Times New Roman" w:eastAsia="Times New Roman" w:hAnsi="Times New Roman"/>
                <w:color w:val="202020"/>
                <w:sz w:val="26"/>
                <w:szCs w:val="26"/>
              </w:rPr>
              <w:t xml:space="preserve">Лучевая и волновая модели, скан по анизотропии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cs="Times New Roman" w:eastAsia="Times New Roman" w:hAnsi="Times New Roman"/>
                <w:color w:val="202020"/>
                <w:sz w:val="26"/>
                <w:szCs w:val="26"/>
              </w:rPr>
              <w:t xml:space="preserve">и временное моделирование с обрезанием элементарной ячейки</w:t>
            </w:r>
          </w:p>
          <w:p>
            <w:pPr>
              <w:spacing w:before="963"/>
            </w:pPr>
          </w:p>
          <w:tbl>
            <w:tblPr>
              <w:tblW w:type="pct" w:w="7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Серия: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монография репозитория AB-Cloud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Объект: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гиперболический бильярд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Методы: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бильярд, Гельмгольц, ADE-FDTD, Julia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Репозиторий: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github.com/wild8highlander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25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Версия:</w:t>
                  </w:r>
                </w:p>
              </w:tc>
              <w:tc>
                <w:tcPr>
                  <w:tcW w:type="pct" w:w="75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w:t xml:space="preserve">1.0 (W1 + E6 + E7)</w:t>
                  </w:r>
                </w:p>
              </w:tc>
            </w:tr>
          </w:tbl>
          <w:p>
            <w:pPr>
              <w:spacing w:before="3756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  <w:t xml:space="preserve">Октябрь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Аннотация</w:t>
      </w:r>
    </w:p>
    <w:p>
      <w:pPr>
        <w:spacing w:after="120" w:line="360"/>
        <w:ind w:firstLine="567"/>
        <w:jc w:val="both"/>
      </w:pPr>
      <w:r>
        <w:t xml:space="preserve">Настоящая монография систематизирует результаты исследования W1 репозитория AB-Cloud Research, посвящённого численному воспроизведению феномена гиперболических волновых аттракторов — саморганизации волн в замкнутые, хиральные и широкополосные траектории внутри анизотропной (гиперболической) полости. Работа опирается на статью «Hyperbolic wave attractors» (Nature Physics, 2026, CUNY ASRC) и доводит воспроизведение до уровня двусторонней волновой модели: помимо лучевого бильярда и частотного уравнения Гельмгольца строятся скан по силе анизотропии и временное моделирование с физически последовательным обрезанием элементарной ячейки метаматериала.</w:t>
      </w:r>
    </w:p>
    <w:p>
      <w:pPr>
        <w:spacing w:after="120" w:line="360"/>
        <w:ind w:firstLine="567"/>
        <w:jc w:val="both"/>
      </w:pPr>
      <w:r>
        <w:t xml:space="preserve">На лучевом уровне (эксперименты E1–E5) подтверждены каскад длин волн со средним ростом |k| в ×7,6 за отражение от склона, полный захват на аттрактор (24 из 24 лучей против 0 из 24 в изотропном контроле), точная хиральная комплементарность зеркальных пар и частотная инвариантность маршрута. Новые эксперименты E6–E7 расширяют картину: во-первых, фаза аттрактора оказывается окном, обе границы которого универсальны в переменной u = s·√η (u₁ = 0,176 ± 0,041; u₂ = 0,490 ± 0,084 при изменении η на два порядка), тогда как наивный резонансный критерий s* = 1/√η завышает это окно. Во-вторых, временная задача для неограниченно-неопределённого тензора показана некорректной (экспоненциальная расходимость с измеренной скоростью γ = 74,6 с⁻¹ против оценки 2/(Δx·√η)); её излечивает дисперсионная (друдовская) модель проводочной метасреды μ_y(ω) = 1 − ω_p²/ω² с ω_p = πc/a, задаваемой размером ячейки. При частоте накачки ω₀ = ω_p/√(η+1) такая среда в точности эквивалентна гиперболической среде лучевой модели с η = 100; импульсная накачка демонстрирует воронку захвата на лучевой маршрут (энергия в коридоре в 1,43 раза выше изотропного контроля), каскад в k-пространстве запирается на гиперболе изочастоты и упирается в складку |kₓ| ≈ ω_p/c, а скан по числу ячеек (32…192) выявляет гомогенизационную сходимость аттрактора: пиковый захват коридора растёт в десять раз.</w:t>
      </w:r>
    </w:p>
    <w:p>
      <w:pPr>
        <w:spacing w:after="120" w:line="360"/>
        <w:ind w:firstLine="567"/>
        <w:jc w:val="both"/>
      </w:pPr>
      <w:r>
        <w:t xml:space="preserve">Все ключевые результаты дважды независимо воспроизведены на двух языках (Python и Julia): согласие коротких траекторий на уровне 3,45·10⁻¹⁵ по точкам отражения и 2,4·10⁻¹⁵ по полю TD-ядра. Монография сопровождается полностью воспроизводимым конвейером (Makefile, CI, первичные данные CSV/JSON/NPZ) и двенадцатью рисунками издательского качества.</w:t>
      </w:r>
    </w:p>
    <w:p>
      <w:pPr>
        <w:spacing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Ключевые слова: </w:t>
      </w:r>
      <w:r>
        <w:rPr>
          <w:sz w:val="24"/>
          <w:szCs w:val="24"/>
        </w:rPr>
        <w:t xml:space="preserve">гиперболический метаматериал; волновой аттрактор; каскад длин волн; бильярд; неспекулярное отражение; анизотропия; универсальное масштабирование; обрезание ячейки; друдовская дисперсия; ADE-FDTD; хиральность; кросс-верификация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Введение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Физический контекст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1.2. Место работы в репозитории AB-Cloud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1.3. Структура монографии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Физика гиперболических волновых аттракторов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2.1. Неопределённая дисперсия и конус групповой скорости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2.2. Отражение от стенки: корни Виета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2.3. Каскад длин волн и резонансный масштаб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2.4. Камеры и хиральность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Лучевая модель: эксперименты E1–E5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3.1. Алгоритм лучевого бильярда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3.2. E1: каскад длин волн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3.3. E2: гиперболическая среда против изотропного контроля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3.4. E3: хиральность и зеркальная комплементарность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3.5. E4: частотная инвариантность и плотность лучей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3.6. E5: фазовая диаграмма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3.7. Сводка результатов лучевого уровня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 E6: скан по анизотропии и универсальность окна аттрактора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4.1. Постановка скана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4.2. Результат: окно аттрактора универсально в u = s·√η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4.3. Волновой уровень: каналализация поля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 Волновая модель I: частотная область (Гельмгольц)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5.1. Постановка и дискретизация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5.2. Направленный источник и полосное усреднение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5.3. Наблюдения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6. Волновая модель II: временная область с обрезанием ячейки (E7)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6.1. Наивная недисперсионная модель некорректна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6.2. Друдовская регуляризация и безусловная корректность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6.3. Точное соответствие с лучевой моделью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6.4. Схема ADE-FDTD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6.5. E7a: импульсная накачка — воронка и каскад в реальном времени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6.6. E7b: скан обрезания — гомогенизационная сходимость аттрактора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6.7. E7c: контроль — взрыв наивной модели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 Спутник: эффект Ааронова–Бома на волнах на воде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8. Кросс-верификация Python ↔ Julia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8.1. Лучевое ядро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8.2. TD-ядро E7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9.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9.1. Структура и конвейер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9.2. Непрерывная интеграция и артефакты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 Обсуждение и выводы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10.1. Основные результаты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10.2. Ограничения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10.3. Перспективы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Список литературы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Примечание: содержание построено на полевых кодах. После редактирования документа щёлкните по содержанию правой кнопкой мыши и выберите «Обновить поле», чтобы номера страниц стали точными.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850" w:footer="700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1. Введение</w:t>
      </w:r>
      <w:bookmarkEnd w:id="100000"/>
    </w:p>
    <w:p>
      <w:pPr>
        <w:pStyle w:val="Heading2"/>
        <w:spacing w:after="240" w:before="360" w:line="360"/>
      </w:pPr>
      <w:bookmarkStart w:id="100001" w:name="_Toc10000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1.1. Физический контекст</w:t>
      </w:r>
      <w:bookmarkEnd w:id="100001"/>
    </w:p>
    <w:p>
      <w:pPr>
        <w:spacing w:after="0" w:line="360"/>
        <w:ind w:firstLine="567"/>
        <w:jc w:val="both"/>
      </w:pPr>
      <w:r>
        <w:t xml:space="preserve">Гиперболические метаматериалы — среды, главные компоненты тензора эффективного отклика которых имеют разные знаки — за последние два десятилетия превратились из теоретической диковины в рабочий инструмент управления волновыми полями. Их ключевое свойство состоит в том, что изочастотная поверхность перестаёт быть эллипсом и раскрывается в гиперболу: при фиксированной частоте среда поддерживает бесконечное множество волновых векторов, а поток энергии запирается в узком конусе вокруг оптической оси. Именно это свойство лежит в основе гиперлинзы, субдифракционной визуализации и усиления спонтанного излучения.</w:t>
      </w:r>
    </w:p>
    <w:p>
      <w:pPr>
        <w:spacing w:after="0" w:line="360"/>
        <w:ind w:firstLine="567"/>
        <w:jc w:val="both"/>
      </w:pPr>
      <w:r>
        <w:t xml:space="preserve">В работе «Hyperbolic wave attractors» (Nature Physics, 2026, CUNY Advanced Science Research Center) сообщено о качественно новом проявлении той же геометрии: волны, запущенные в полость сложной формы, изготовленную из гиперболического метаматериала, не рассеиваются хаотически, а сами организуются в замкнутые, воспроизводимые, хиральные и широкополосные траектории — волновые аттракторы. Популярное изложение эксперимента с акцентом на его «океанскую» механику (мелкие склоны, конус направлений, каскад длин волн) приведено в статье Naked Science от 30 сентября 2026 года. Авторы отмечают три определения феномена: устойчивость к вариациям начальных условий, нечувствительность к частоте накачки и обрыв каскада на масштабе элементарной ячейки метаматериала.</w:t>
      </w:r>
    </w:p>
    <w:p>
      <w:pPr>
        <w:spacing w:after="0" w:line="360"/>
        <w:ind w:firstLine="567"/>
        <w:jc w:val="both"/>
      </w:pPr>
      <w:r>
        <w:t xml:space="preserve">Феноменологическая картина такова. Отражение от наклонной стенки в гиперболической среде неспекулярно: сохраняется касательная составляющая волнового вектора, а нормальная находится как второй корень дисперсионного квадратичного уравнения (корень Виета). Каждое такое отражение перескакивает волновой вектор вдоль ветви гиперболы, увеличивая его модуль, — так возникает каскад длин волн. В полости, где наклонные стенки комбинируются с вертикальными (для которых отражение спекулярно), каскад воронкой собирает все запущенные лучи на один и тот же замкнутый маршрут; обрыв каскада на масштабе ячейки регулярно вызывает наблюдаемую картину «идеальной структуры» из тонких каустик.</w:t>
      </w:r>
    </w:p>
    <w:p>
      <w:pPr>
        <w:pStyle w:val="Heading2"/>
        <w:spacing w:after="240" w:before="360" w:line="360"/>
      </w:pPr>
      <w:bookmarkStart w:id="100002" w:name="_Toc100002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1.2. Место работы в репозитории AB-Cloud</w:t>
      </w:r>
      <w:bookmarkEnd w:id="100002"/>
    </w:p>
    <w:p>
      <w:pPr>
        <w:spacing w:after="0" w:line="360"/>
        <w:ind w:firstLine="567"/>
        <w:jc w:val="both"/>
      </w:pPr>
      <w:r>
        <w:t xml:space="preserve">Репозиторий AB-Cloud Research объединяет численные исследования на стыке спектральной теории, волновой физики и метаматериалов; каждое исследование оформлено как самодостаточный модуль с первичными данными, скриптами, рисунками, документацией и непрерывной интеграцией. Настоящая монография документирует исследование W1 — «Hyperbolic wave attractors: numerical reproduction study» — в расширенной редакции, включающей два новых блока, запрошенных после первой версии: скан по силе анизотропии η (эксперимент E6) и временное моделирование с обрезанием элементарной ячейки (эксперимент E7).</w:t>
      </w:r>
    </w:p>
    <w:p>
      <w:pPr>
        <w:spacing w:after="0" w:line="360"/>
        <w:ind w:firstLine="567"/>
        <w:jc w:val="both"/>
      </w:pPr>
      <w:r>
        <w:t xml:space="preserve">Принципы, унаследованные от репозитория: во-первых, двуязычная воспроизводимость — все ключевые вычисления имеют независимые реализации на Python (numpy/scipy) и Julia (только стандартная библиотека), а согласие проверяется автоматически; во-вторых, трассируемость чисел — каждая величина в тексте восходит к именованному эксперименту и первичному файлу данных; в-третьих, аккуратные контроли — каждый эффект сопровождается нулевой гипотезой (изотропная среда, недисперсионная модель и т. п.).</w:t>
      </w:r>
    </w:p>
    <w:p>
      <w:pPr>
        <w:pStyle w:val="Heading2"/>
        <w:spacing w:after="240" w:before="360" w:line="360"/>
      </w:pPr>
      <w:bookmarkStart w:id="100003" w:name="_Toc100003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1.3. Структура монографии</w:t>
      </w:r>
      <w:bookmarkEnd w:id="100003"/>
    </w:p>
    <w:p>
      <w:pPr>
        <w:spacing w:after="0" w:line="360"/>
        <w:ind w:firstLine="567"/>
        <w:jc w:val="both"/>
      </w:pPr>
      <w:r>
        <w:t xml:space="preserve">Глава 2 формализует физику: дисперсию, конус групповой скорости, неспекулярное отражение, каскад и резонансный масштаб. Глава 3 описывает лучевую модель и эксперименты E1–E5. Глава 4 посвящена скану по анизотропии E6 и универсальности окна аттрактора. Глава 5 описывает частотную волновую модель; глава 6 — временную модель с обрезанием ячейки, включая доказательство безусловной корректности дисперсионной задачи. Главы 7 и 8 содержат спутниковое исследование эффекта Ааронова–Бома на волнах на воде и протокол кросс-верификации Python ↔ Julia. Глава 9 документирует воспроизводимость, глава 10 обсуждает результаты, ограничения и перспективы.</w:t>
      </w:r>
    </w:p>
    <w:p>
      <w:pPr>
        <w:pStyle w:val="Heading1"/>
        <w:spacing w:after="360" w:before="480" w:line="360"/>
        <w:jc w:val="center"/>
      </w:pPr>
      <w:bookmarkStart w:id="100004" w:name="_Toc100004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2. Физика гиперболических волновых аттракторов</w:t>
      </w:r>
      <w:bookmarkEnd w:id="100004"/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2.1. Неопределённая дисперсия и конус групповой скорости</w:t>
      </w:r>
      <w:bookmarkEnd w:id="100005"/>
    </w:p>
    <w:p>
      <w:pPr>
        <w:spacing w:after="0" w:line="360"/>
        <w:ind w:firstLine="567"/>
        <w:jc w:val="both"/>
      </w:pPr>
      <w:r>
        <w:t xml:space="preserve">Мы используем TE-подобную скалярную поляризацию двумерной анизотропной среды с тензором магнитной проницаемости μ = diag(1, −η), η &gt; 0. Дисперсионное соотношение имеет вид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rPr>
          <w:vertAlign w:val="superscript"/>
        </w:rPr>
        <w:t xml:space="preserve">2</w:t>
      </w:r>
      <w:r>
        <w:t xml:space="preserve"> − </w:t>
      </w:r>
      <w:r>
        <w:rPr>
          <w:i/>
          <w:iCs/>
        </w:rPr>
        <w:t xml:space="preserve">k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/</w:t>
      </w:r>
      <w:r>
        <w:rPr>
          <w:i/>
          <w:iCs/>
        </w:rPr>
        <w:t xml:space="preserve">η</w:t>
      </w:r>
      <w:r>
        <w:t xml:space="preserve"> = 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,   </w:t>
      </w:r>
      <w:r>
        <w:rPr>
          <w:i/>
          <w:iCs/>
        </w:rPr>
        <w:t xml:space="preserve">K</w:t>
      </w:r>
      <w:r>
        <w:t xml:space="preserve"> = </w:t>
      </w:r>
      <w:r>
        <w:rPr>
          <w:i/>
          <w:iCs/>
        </w:rPr>
        <w:t xml:space="preserve">ω</w:t>
      </w:r>
      <w:r>
        <w:t xml:space="preserve">/</w:t>
      </w:r>
      <w:r>
        <w:rPr>
          <w:i/>
          <w:iCs/>
        </w:rPr>
        <w:t xml:space="preserve">c</w:t>
      </w:r>
      <w:r>
        <w:t xml:space="preserve">,</w:t>
      </w:r>
      <w:r>
        <w:t xml:space="preserve">	(2.1)</w:t>
      </w:r>
    </w:p>
    <w:p>
      <w:pPr>
        <w:spacing w:after="0" w:line="360"/>
        <w:ind w:firstLine="567"/>
        <w:jc w:val="both"/>
      </w:pPr>
      <w:r>
        <w:t xml:space="preserve">то есть изочастотная поверхность — гипербола, раскрывающаяся вдоль оси ±y с двумя ветвями (знак k</w:t>
      </w:r>
      <w:r>
        <w:rPr>
          <w:vertAlign w:val="subscript"/>
        </w:rPr>
        <w:t xml:space="preserve">y</w:t>
      </w:r>
      <w:r>
        <w:t xml:space="preserve">). Групповая скорость нормальна к изочастотной поверхности: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v</w:t>
      </w:r>
      <w:r>
        <w:rPr>
          <w:vertAlign w:val="subscript"/>
        </w:rPr>
        <w:t xml:space="preserve">g</w:t>
      </w:r>
      <w:r>
        <w:t xml:space="preserve"> ∝ (−</w:t>
      </w:r>
      <w:r>
        <w:rPr>
          <w:i/>
          <w:iCs/>
        </w:rPr>
        <w:t xml:space="preserve">k</w:t>
      </w:r>
      <w:r>
        <w:rPr>
          <w:vertAlign w:val="subscript"/>
        </w:rPr>
        <w:t xml:space="preserve">x</w:t>
      </w:r>
      <w:r>
        <w:t xml:space="preserve">/</w:t>
      </w:r>
      <w:r>
        <w:rPr>
          <w:i/>
          <w:iCs/>
        </w:rPr>
        <w:t xml:space="preserve">η</w:t>
      </w:r>
      <w:r>
        <w:t xml:space="preserve">,  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t xml:space="preserve">),</w:t>
      </w:r>
      <w:r>
        <w:t xml:space="preserve">	(2.2)</w:t>
      </w:r>
    </w:p>
    <w:p>
      <w:pPr>
        <w:spacing w:after="0" w:line="360"/>
        <w:ind w:firstLine="567"/>
        <w:jc w:val="both"/>
      </w:pPr>
      <w:r>
        <w:t xml:space="preserve">и потому поток энергии заперт в конусе полуугла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α</w:t>
      </w:r>
      <w:r>
        <w:rPr>
          <w:vertAlign w:val="subscript"/>
        </w:rPr>
        <w:t xml:space="preserve">max</w:t>
      </w:r>
      <w:r>
        <w:t xml:space="preserve"> = arctg(1/√</w:t>
      </w:r>
      <w:r>
        <w:rPr>
          <w:i/>
          <w:iCs/>
        </w:rPr>
        <w:t xml:space="preserve">η</w:t>
      </w:r>
      <w:r>
        <w:t xml:space="preserve">)</w:t>
      </w:r>
      <w:r>
        <w:t xml:space="preserve">	(2.3)</w:t>
      </w:r>
    </w:p>
    <w:p>
      <w:pPr>
        <w:spacing w:after="0" w:line="360"/>
        <w:ind w:firstLine="567"/>
        <w:jc w:val="both"/>
      </w:pPr>
      <w:r>
        <w:t xml:space="preserve">вокруг оптической оси (оси y): при η = 100 полуугол составляет 5,71°. Это определяющее свойство гиперболической среды — «волны распространяются только вдоль узких предписанных направлений». Существенно, что волновой вектор и направление потока энергии в такой среде, вообще говоря, не совпадают: луч распространяется вдоль v</w:t>
      </w:r>
      <w:r>
        <w:rPr>
          <w:vertAlign w:val="subscript"/>
        </w:rPr>
        <w:t xml:space="preserve">g</w:t>
      </w:r>
      <w:r>
        <w:t xml:space="preserve">, а не вдоль k. Состояние луча задаётся парой (положение, k на изочастотной гиперболе).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2.1. Слева: шестигранная камера исследования и замкнутый маршрут аттрактора (период 22). Справа: дисперсионная гипербола (2.1) и конус групповой скорости (2.3) с полууглом 5,71° при η = 100.</w:t>
      </w:r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2.2. Отражение от стенки: корни Виета</w:t>
      </w:r>
      <w:bookmarkEnd w:id="100006"/>
    </w:p>
    <w:p>
      <w:pPr>
        <w:spacing w:after="0" w:line="360"/>
        <w:ind w:firstLine="567"/>
        <w:jc w:val="both"/>
      </w:pPr>
      <w:r>
        <w:t xml:space="preserve">Пусть (t, n) — ортонормированный базис стенки (касательная, внутренняя нормаль). Трансляционная инвариантность вдоль стенки сохраняет касательную компоненту k</w:t>
      </w:r>
      <w:r>
        <w:rPr>
          <w:vertAlign w:val="subscript"/>
        </w:rPr>
        <w:t xml:space="preserve">t</w:t>
      </w:r>
      <w:r>
        <w:t xml:space="preserve">. Разложение k = k</w:t>
      </w:r>
      <w:r>
        <w:rPr>
          <w:vertAlign w:val="subscript"/>
        </w:rPr>
        <w:t xml:space="preserve">t</w:t>
      </w:r>
      <w:r>
        <w:t xml:space="preserve">·t + k</w:t>
      </w:r>
      <w:r>
        <w:rPr>
          <w:vertAlign w:val="subscript"/>
        </w:rPr>
        <w:t xml:space="preserve">n</w:t>
      </w:r>
      <w:r>
        <w:t xml:space="preserve">·n превращает дисперсионное соотношение в квадратное уравнение на k</w:t>
      </w:r>
      <w:r>
        <w:rPr>
          <w:vertAlign w:val="subscript"/>
        </w:rPr>
        <w:t xml:space="preserve">n</w:t>
      </w:r>
      <w:r>
        <w:t xml:space="preserve">: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A k</w:t>
      </w:r>
      <w:r>
        <w:rPr>
          <w:vertAlign w:val="subscript"/>
        </w:rPr>
        <w:t xml:space="preserve">n</w:t>
      </w:r>
      <w:r>
        <w:rPr>
          <w:vertAlign w:val="superscript"/>
        </w:rPr>
        <w:t xml:space="preserve">2</w:t>
      </w:r>
      <w:r>
        <w:t xml:space="preserve"> + </w:t>
      </w:r>
      <w:r>
        <w:rPr>
          <w:i/>
          <w:iCs/>
        </w:rPr>
        <w:t xml:space="preserve">B k</w:t>
      </w:r>
      <w:r>
        <w:rPr>
          <w:vertAlign w:val="subscript"/>
        </w:rPr>
        <w:t xml:space="preserve">n</w:t>
      </w:r>
      <w:r>
        <w:t xml:space="preserve"> + </w:t>
      </w:r>
      <w:r>
        <w:rPr>
          <w:i/>
          <w:iCs/>
        </w:rPr>
        <w:t xml:space="preserve">C</w:t>
      </w:r>
      <w:r>
        <w:t xml:space="preserve"> = 0,</w:t>
      </w:r>
      <w:r>
        <w:t xml:space="preserve">	(2.4)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A</w:t>
      </w:r>
      <w:r>
        <w:t xml:space="preserve"> = </w:t>
      </w:r>
      <w:r>
        <w:rPr>
          <w:i/>
          <w:iCs/>
        </w:rPr>
        <w:t xml:space="preserve">n</w:t>
      </w:r>
      <w:r>
        <w:rPr>
          <w:vertAlign w:val="subscript"/>
        </w:rPr>
        <w:t xml:space="preserve">y</w:t>
      </w:r>
      <w:r>
        <w:rPr>
          <w:vertAlign w:val="superscript"/>
        </w:rPr>
        <w:t xml:space="preserve">2</w:t>
      </w:r>
      <w:r>
        <w:t xml:space="preserve"> − </w:t>
      </w:r>
      <w:r>
        <w:rPr>
          <w:i/>
          <w:iCs/>
        </w:rPr>
        <w:t xml:space="preserve">n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/</w:t>
      </w:r>
      <w:r>
        <w:rPr>
          <w:i/>
          <w:iCs/>
        </w:rPr>
        <w:t xml:space="preserve">η</w:t>
      </w:r>
      <w:r>
        <w:t xml:space="preserve">,   </w:t>
      </w:r>
      <w:r>
        <w:rPr>
          <w:i/>
          <w:iCs/>
        </w:rPr>
        <w:t xml:space="preserve">B</w:t>
      </w:r>
      <w:r>
        <w:t xml:space="preserve"> = 2</w:t>
      </w:r>
      <w:r>
        <w:rPr>
          <w:i/>
          <w:iCs/>
        </w:rPr>
        <w:t xml:space="preserve">k</w:t>
      </w:r>
      <w:r>
        <w:rPr>
          <w:vertAlign w:val="subscript"/>
        </w:rPr>
        <w:t xml:space="preserve">t</w:t>
      </w:r>
      <w:r>
        <w:t xml:space="preserve">(</w:t>
      </w:r>
      <w:r>
        <w:rPr>
          <w:i/>
          <w:iCs/>
        </w:rPr>
        <w:t xml:space="preserve">t</w:t>
      </w:r>
      <w:r>
        <w:rPr>
          <w:vertAlign w:val="subscript"/>
        </w:rPr>
        <w:t xml:space="preserve">y</w:t>
      </w:r>
      <w:r>
        <w:rPr>
          <w:i/>
          <w:iCs/>
        </w:rPr>
        <w:t xml:space="preserve">n</w:t>
      </w:r>
      <w:r>
        <w:rPr>
          <w:vertAlign w:val="subscript"/>
        </w:rPr>
        <w:t xml:space="preserve">y</w:t>
      </w:r>
      <w:r>
        <w:t xml:space="preserve"> − </w:t>
      </w:r>
      <w:r>
        <w:rPr>
          <w:i/>
          <w:iCs/>
        </w:rPr>
        <w:t xml:space="preserve">t</w:t>
      </w:r>
      <w:r>
        <w:rPr>
          <w:vertAlign w:val="subscript"/>
        </w:rPr>
        <w:t xml:space="preserve">x</w:t>
      </w:r>
      <w:r>
        <w:rPr>
          <w:i/>
          <w:iCs/>
        </w:rPr>
        <w:t xml:space="preserve">n</w:t>
      </w:r>
      <w:r>
        <w:rPr>
          <w:vertAlign w:val="subscript"/>
        </w:rPr>
        <w:t xml:space="preserve">x</w:t>
      </w:r>
      <w:r>
        <w:t xml:space="preserve">/</w:t>
      </w:r>
      <w:r>
        <w:rPr>
          <w:i/>
          <w:iCs/>
        </w:rPr>
        <w:t xml:space="preserve">η</w:t>
      </w:r>
      <w:r>
        <w:t xml:space="preserve">),   </w:t>
      </w:r>
      <w:r>
        <w:rPr>
          <w:i/>
          <w:iCs/>
        </w:rPr>
        <w:t xml:space="preserve">C</w:t>
      </w:r>
      <w:r>
        <w:t xml:space="preserve"> = </w:t>
      </w:r>
      <w:r>
        <w:rPr>
          <w:i/>
          <w:iCs/>
        </w:rPr>
        <w:t xml:space="preserve">k</w:t>
      </w:r>
      <w:r>
        <w:rPr>
          <w:vertAlign w:val="subscript"/>
        </w:rPr>
        <w:t xml:space="preserve">t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t</w:t>
      </w:r>
      <w:r>
        <w:rPr>
          <w:vertAlign w:val="subscript"/>
        </w:rPr>
        <w:t xml:space="preserve">y</w:t>
      </w:r>
      <w:r>
        <w:rPr>
          <w:vertAlign w:val="superscript"/>
        </w:rPr>
        <w:t xml:space="preserve">2</w:t>
      </w:r>
      <w:r>
        <w:t xml:space="preserve"> − </w:t>
      </w:r>
      <w:r>
        <w:rPr>
          <w:i/>
          <w:iCs/>
        </w:rPr>
        <w:t xml:space="preserve">t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/</w:t>
      </w:r>
      <w:r>
        <w:rPr>
          <w:i/>
          <w:iCs/>
        </w:rPr>
        <w:t xml:space="preserve">η</w:t>
      </w:r>
      <w:r>
        <w:t xml:space="preserve">) − </w:t>
      </w:r>
      <w:r>
        <w:rPr>
          <w:i/>
          <w:iCs/>
        </w:rPr>
        <w:t xml:space="preserve">K</w:t>
      </w:r>
      <w:r>
        <w:rPr>
          <w:vertAlign w:val="superscript"/>
        </w:rPr>
        <w:t xml:space="preserve">2</w:t>
      </w:r>
      <w:r>
        <w:t xml:space="preserve">.</w:t>
      </w:r>
      <w:r>
        <w:t xml:space="preserve">	(2.5)</w:t>
      </w:r>
    </w:p>
    <w:p>
      <w:pPr>
        <w:spacing w:after="0" w:line="360"/>
        <w:ind w:firstLine="567"/>
        <w:jc w:val="both"/>
      </w:pPr>
      <w:r>
        <w:t xml:space="preserve">Падающая волна — один корень; отражённая — другой, что и даёт точный закон отражения (по теореме Виета — «второй корень»). Это отражение, вообще говоря, неспекулярно: зеркальная симметрия нарушена материалом. Именно неспекулярность порождает механику аттрактора. В изотропном контроле (μ = 1, круговая изочастота) уравнение вырождается в знакомое k</w:t>
      </w:r>
      <w:r>
        <w:rPr>
          <w:vertAlign w:val="subscript"/>
        </w:rPr>
        <w:t xml:space="preserve">n</w:t>
      </w:r>
      <w:r>
        <w:t xml:space="preserve"> → −k</w:t>
      </w:r>
      <w:r>
        <w:rPr>
          <w:vertAlign w:val="subscript"/>
        </w:rPr>
        <w:t xml:space="preserve">n</w:t>
      </w:r>
      <w:r>
        <w:t xml:space="preserve">. Поскольку падающая волна лежит на изочастотной поверхности, дискриминант неотрицателен всегда: отражение в гиперболической среде никогда не становится эванесцентным — полного внутреннего отражения нет, что является одним из практических преимуществ таких сред. В реализацию добавлен один ньютоновский шаг перепроекции на контур, устраняющий накопление машинной ошибки.</w:t>
      </w:r>
    </w:p>
    <w:p>
      <w:pPr>
        <w:pStyle w:val="Heading2"/>
        <w:spacing w:after="240" w:before="360" w:line="360"/>
      </w:pPr>
      <w:bookmarkStart w:id="100007" w:name="_Toc100007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2.3. Каскад длин волн и резонансный масштаб</w:t>
      </w:r>
      <w:bookmarkEnd w:id="100007"/>
    </w:p>
    <w:p>
      <w:pPr>
        <w:spacing w:after="0" w:line="360"/>
        <w:ind w:firstLine="567"/>
        <w:jc w:val="both"/>
      </w:pPr>
      <w:r>
        <w:t xml:space="preserve">Каждое отражение от наклонной стенки перескакивает волновой вектор вдоль ветви гиперболы: модуль |k| растёт, а направление групповой скорости насыщается к асимптоте дисперсии. Так рождается каскад длин волн, наблюдавшийся в референсном эксперименте: длина волны вдоль маршрута укорачивается от отражения к отражению, пока не упирается в мельчайший масштаб системы — в эксперименте это элементарная ячейка метаматериала, в численной модели — шаг сетки. Наивный критерий существования аттрактора формулируется в терминах резонанса между наклоном склона s и конусом: s* = 1/√η; ниже (глава 4) будет показано, что фактически окно аттрактора заметно уже, а его обе границы универсальны в переменной u = s·√η.</w:t>
      </w:r>
    </w:p>
    <w:p>
      <w:pPr>
        <w:pStyle w:val="Heading2"/>
        <w:spacing w:after="240" w:before="360" w:line="360"/>
      </w:pPr>
      <w:bookmarkStart w:id="100008" w:name="_Toc100008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2.4. Камеры и хиральность</w:t>
      </w:r>
      <w:bookmarkEnd w:id="100008"/>
    </w:p>
    <w:p>
      <w:pPr>
        <w:spacing w:after="0" w:line="360"/>
        <w:ind w:firstLine="567"/>
        <w:jc w:val="both"/>
      </w:pPr>
      <w:r>
        <w:t xml:space="preserve">Основная камера исследования — шестигранник с вертикальными боковыми стенками и двумя мелкими склонами внизу (s = 0,03 и 0,06 при y_v = 0,35); намеренная лево-правая асимметрия склонов выбирает единственное направление циркуляции аттрактора. Вертикальные стенки для данной дисперсии спекулярны (k</w:t>
      </w:r>
      <w:r>
        <w:rPr>
          <w:vertAlign w:val="subscript"/>
        </w:rPr>
        <w:t xml:space="preserve">x</w:t>
      </w:r>
      <w:r>
        <w:t xml:space="preserve"> → −k</w:t>
      </w:r>
      <w:r>
        <w:rPr>
          <w:vertAlign w:val="subscript"/>
        </w:rPr>
        <w:t xml:space="preserve">x</w:t>
      </w:r>
      <w:r>
        <w:t xml:space="preserve">, k</w:t>
      </w:r>
      <w:r>
        <w:rPr>
          <w:vertAlign w:val="subscript"/>
        </w:rPr>
        <w:t xml:space="preserve">y</w:t>
      </w:r>
      <w:r>
        <w:t xml:space="preserve"> сохраняется) и служат «переключателями» горизонтального дрейфа, тогда как склоны обеспечивают каскад. Хиральность замкнутого маршрута измеряется индексом C — суммарным подписанным поворотом касательной вдоль петли (в полных оборотах); простая выпуклая петля даёт |C| ≈ 1. Зеркальная камера рождает зеркальный маршрут с противоположным C — точная хиральная комплементарность, проверяемая экспериментом E3.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3. Лучевая модель: эксперименты E1–E5</w:t>
      </w:r>
      <w:bookmarkEnd w:id="100009"/>
    </w:p>
    <w:p>
      <w:pPr>
        <w:pStyle w:val="Heading2"/>
        <w:spacing w:after="240" w:before="360" w:line="360"/>
      </w:pPr>
      <w:bookmarkStart w:id="100010" w:name="_Toc100010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3.1. Алгоритм лучевого бильярда</w:t>
      </w:r>
      <w:bookmarkEnd w:id="100010"/>
    </w:p>
    <w:p>
      <w:pPr>
        <w:spacing w:after="0" w:line="360"/>
        <w:ind w:firstLine="567"/>
        <w:jc w:val="both"/>
      </w:pPr>
      <w:r>
        <w:t xml:space="preserve">Лучевая модель реализована в модуле ray_billiard.py. Свободный полёт — движение из точки вдоль v</w:t>
      </w:r>
      <w:r>
        <w:rPr>
          <w:vertAlign w:val="subscript"/>
        </w:rPr>
        <w:t xml:space="preserve">g</w:t>
      </w:r>
      <w:r>
        <w:t xml:space="preserve"> до ближайшего пересечения с границей (точное линейно-аналитическое решение для каждого ребра, выбор ближайшего положительного пересечения). Отражение — по закону корней Виета (2.4)–(2.5) с ньютоновской перепроекцией. Особое внимание уделено детерминизму: попадание в вершину обрабатывается отражением от биссектрисы двух смежных нормалей (модель скруглённого дефекта), а свободный полёт стартует со сдвигом на 10⁻⁹ масштаба камеры вдоль внутренней нормали. Все правила определены так, чтобы реализации на Python и Julia совпадали поточечно — это необходимое условие кросс-верификации главы 8. Предельный цикл детектируется по повтору точек отражения с периодом m ≤ 100 и допуском 10⁻⁶…10⁻⁷.</w:t>
      </w:r>
    </w:p>
    <w:p>
      <w:pPr>
        <w:spacing w:after="0" w:line="360"/>
        <w:ind w:firstLine="567"/>
        <w:jc w:val="both"/>
      </w:pPr>
      <w:r>
        <w:t xml:space="preserve">Самотестирование модуля (семь проверок) включает спекулярность изотропного отражения, сохранение дисперсии и k</w:t>
      </w:r>
      <w:r>
        <w:rPr>
          <w:vertAlign w:val="subscript"/>
        </w:rPr>
        <w:t xml:space="preserve">t</w:t>
      </w:r>
      <w:r>
        <w:t xml:space="preserve"> при гиперболическом отражении, выход групповой скорости внутрь камеры, запертость в конусе, удержание лучей внутри замкнутой камеры и формирование замкнутых петель в трапеции.</w:t>
      </w:r>
    </w:p>
    <w:p>
      <w:pPr>
        <w:pStyle w:val="Heading2"/>
        <w:spacing w:after="240" w:before="360" w:line="360"/>
      </w:pPr>
      <w:bookmarkStart w:id="100011" w:name="_Toc10001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3.2. E1: каскад длин волн</w:t>
      </w:r>
      <w:bookmarkEnd w:id="100011"/>
    </w:p>
    <w:p>
      <w:pPr>
        <w:spacing w:after="0" w:line="360"/>
        <w:ind w:firstLine="567"/>
        <w:jc w:val="both"/>
      </w:pPr>
      <w:r>
        <w:t xml:space="preserve">Полный протокол — 24 луча × 1600 отражений в шестигранной камере при η = 100. Средний транзиентный рост модуля волнового вектора за одно отражение от склона составляет ×7,6 (максимум ×65); сходимость траектории к маршруту геометрическая, с медианным показателем q = 0,992 (расстояния до предельной петли убывают как q</w:t>
      </w:r>
      <w:r>
        <w:rPr>
          <w:vertAlign w:val="superscript"/>
        </w:rPr>
        <w:t xml:space="preserve">n</w:t>
      </w:r>
      <w:r>
        <w:t xml:space="preserve">). Накопленная статистика по попаданиям в склоны (E1_cascade_slope_hits.csv) показывает: до захвата каскад усиливает |k| на десятилетия, после захвата рост обрывается на сеточном пределе — численном аналоге ячеечного обрыва.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3.1. E1. Слева: |k| перед отражениями от склона (первые 10 лучей, логарифмическая шкала) — геометрический рост вплоть до захвата. Справа: гистограмма показателя геометрической сходимости q; медиана 0,992.</w:t>
      </w:r>
    </w:p>
    <w:p>
      <w:pPr>
        <w:pStyle w:val="Heading2"/>
        <w:spacing w:after="240" w:before="360" w:line="360"/>
      </w:pPr>
      <w:bookmarkStart w:id="100012" w:name="_Toc100012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3.3. E2: гиперболическая среда против изотропного контроля</w:t>
      </w:r>
      <w:bookmarkEnd w:id="100012"/>
    </w:p>
    <w:p>
      <w:pPr>
        <w:spacing w:after="0" w:line="360"/>
        <w:ind w:firstLine="567"/>
        <w:jc w:val="both"/>
      </w:pPr>
      <w:r>
        <w:t xml:space="preserve">Контрольный эксперимент отделяет роль анизотропии от геометрии: в той же камере при тех же начальных условиях (24 луча) гиперболическая среда захватывает 24 из 24 лучей (доля 1,00), изотропный — 0 из 24 (доля 0,00). Захваченные траектории стягиваются к общему маршруту; изотропные заполняют камеру равномерно и хаотично. Это прямая демонстрация того, что аттрактор — эффект материала, а не формы.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3.2. E2. Слева: гиперболическая среда — 14 лучей стягиваются на маршрут (красная линия). Справа: изотропный контроль — те же начальные условия дают хаос без захвата.</w:t>
      </w:r>
    </w:p>
    <w:p>
      <w:pPr>
        <w:pStyle w:val="Heading2"/>
        <w:spacing w:after="240" w:before="360" w:line="360"/>
      </w:pPr>
      <w:bookmarkStart w:id="100013" w:name="_Toc100013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3.4. E3: хиральность и зеркальная комплементарность</w:t>
      </w:r>
      <w:bookmarkEnd w:id="100013"/>
    </w:p>
    <w:p>
      <w:pPr>
        <w:spacing w:after="0" w:line="360"/>
        <w:ind w:firstLine="567"/>
        <w:jc w:val="both"/>
      </w:pPr>
      <w:r>
        <w:t xml:space="preserve">Суммарная хиральность зеркальной пары аттракторов (исходная камера + зеркальная камера с зеркальным начальным условием) равна нулю с машинной точностью; хаусдорфово расстояние между петлями после зеркального отображения — 0,0. В симметричной камере сосуществуют аттракторы обоих направлений циркуляции: измерены C = ±0,4683, ±0,0317 и 0 — спонтанный выбор направления запускаемой волной. Тем самым хиральность здесь — свойство маршрута в асимметричной камере, а не материала: среда скалярна, зеркальная симметрия нарушена только геометрией.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3.3. E3. Исходная и зеркальная камеры: замкнутые маршруты и индексы хиральности; сумма по паре равна нулю точно.</w:t>
      </w:r>
    </w:p>
    <w:p>
      <w:pPr>
        <w:pStyle w:val="Heading2"/>
        <w:spacing w:after="240" w:before="360" w:line="360"/>
      </w:pPr>
      <w:bookmarkStart w:id="100014" w:name="_Toc100014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3.5. E4: частотная инвариантность и плотность лучей</w:t>
      </w:r>
      <w:bookmarkEnd w:id="100014"/>
    </w:p>
    <w:p>
      <w:pPr>
        <w:spacing w:after="0" w:line="360"/>
        <w:ind w:firstLine="567"/>
        <w:jc w:val="both"/>
      </w:pPr>
      <w:r>
        <w:t xml:space="preserve">Нормированная карта (k</w:t>
      </w:r>
      <w:r>
        <w:rPr>
          <w:vertAlign w:val="subscript"/>
        </w:rPr>
        <w:t xml:space="preserve">x</w:t>
      </w:r>
      <w:r>
        <w:t xml:space="preserve">/K, k</w:t>
      </w:r>
      <w:r>
        <w:rPr>
          <w:vertAlign w:val="subscript"/>
        </w:rPr>
        <w:t xml:space="preserve">y</w:t>
      </w:r>
      <w:r>
        <w:t xml:space="preserve">/K) не зависит от K: отражения сохраняют нормированное направление. Проверка на 1201 отражении при K = 1 против K = 7 даёт максимальное отклонение 0,0 — частотная инвариантность точна, аттрактор широкополосен. Геометроакустический аналог волновой интенсивности — плотность пути лучей — демонстрирует коридор контрастом ×5,47 относительно фона (E4c), предсказывая полосно-усреднённую картину главы 5.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3.4. E4c. Плотность пути лучей (нормированная): коридор аттрактора выделен контрастом ×5,47; голубым показан маршрут.</w:t>
      </w:r>
    </w:p>
    <w:p>
      <w:pPr>
        <w:pStyle w:val="Heading2"/>
        <w:spacing w:after="240" w:before="360" w:line="360"/>
      </w:pPr>
      <w:bookmarkStart w:id="100015" w:name="_Toc100015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3.6. E5: фазовая диаграмма</w:t>
      </w:r>
      <w:bookmarkEnd w:id="100015"/>
    </w:p>
    <w:p>
      <w:pPr>
        <w:spacing w:after="0" w:line="360"/>
        <w:ind w:firstLine="567"/>
        <w:jc w:val="both"/>
      </w:pPr>
      <w:r>
        <w:t xml:space="preserve">Карта доли захвата в плоскости (длина склона s, нижняя граница вертикальной стенки y_v) выделяет устойчивую фазу аттрактора при малых s и регулярную фазу при крутых склонах, где каскад выносит лучи в углы (runaway). Эта диаграмма — численный аналог «фазовых переходов аттрактора» референсной работы; её η-сечение систематически расширяется сканом E6 (глава 4).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3.5. E5. Фазовая диаграмма: доля лучей, захваченных аттрактором, в плоскости (s, y_v) при η = 100.</w:t>
      </w:r>
    </w:p>
    <w:p>
      <w:pPr>
        <w:pStyle w:val="Heading2"/>
        <w:spacing w:after="240" w:before="360" w:line="360"/>
      </w:pPr>
      <w:bookmarkStart w:id="100016" w:name="_Toc100016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3.7. Сводка результатов лучевого уровня</w:t>
      </w:r>
      <w:bookmarkEnd w:id="100016"/>
    </w:p>
    <w:p>
      <w:pPr>
        <w:keepNext/>
        <w:spacing w:after="80" w:before="240" w:line="280"/>
        <w:jc w:val="center"/>
      </w:pPr>
      <w:r>
        <w:rPr>
          <w:sz w:val="21"/>
          <w:szCs w:val="21"/>
        </w:rPr>
        <w:t xml:space="preserve">Таблица 3.1. Ключевые результаты экспериментов E1–E5 (полный протокол, η = 100).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Наблюдаемая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Значение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Эксперимент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Захват на аттрактор (гиперболическая / изотропная среда)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24/24 (1,00)</w:t>
            </w:r>
            <w:r>
              <w:rPr>
                <w:b w:val="false"/>
                <w:bCs w:val="false"/>
                <w:sz w:val="21"/>
                <w:szCs w:val="21"/>
              </w:rPr>
              <w:t xml:space="preserve"> против </w:t>
            </w:r>
            <w:r>
              <w:rPr>
                <w:b w:val="false"/>
                <w:bCs w:val="false"/>
                <w:sz w:val="21"/>
                <w:szCs w:val="21"/>
              </w:rPr>
              <w:t xml:space="preserve">0/24 (0,00)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E2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Каскад |k| на отражение от склона (транзиент)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среднее </w:t>
            </w:r>
            <w:r>
              <w:rPr>
                <w:b w:val="false"/>
                <w:bCs w:val="false"/>
                <w:sz w:val="21"/>
                <w:szCs w:val="21"/>
              </w:rPr>
              <w:t xml:space="preserve">×7,6</w:t>
            </w:r>
            <w:r>
              <w:rPr>
                <w:b w:val="false"/>
                <w:bCs w:val="false"/>
                <w:sz w:val="21"/>
                <w:szCs w:val="21"/>
              </w:rPr>
              <w:t xml:space="preserve">, максимум ×65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E1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Геометрическая сходимость к маршруту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q = 0,992 (медиана)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E1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Сумма хиральностей зеркальной пары C + C′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</w:t>
            </w:r>
            <w:r>
              <w:rPr>
                <w:b w:val="false"/>
                <w:bCs w:val="false"/>
                <w:sz w:val="21"/>
                <w:szCs w:val="21"/>
              </w:rPr>
              <w:t xml:space="preserve"> (машинная точность), Хаусдорф 0,0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E3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Сосуществующие направления циркуляции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C = ±0,4683, ±0,0317, 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E3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Частотная инвариантность (K = 1 против K = 7)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максимальное отклонение </w:t>
            </w:r>
            <w:r>
              <w:rPr>
                <w:b w:val="false"/>
                <w:bCs w:val="false"/>
                <w:sz w:val="21"/>
                <w:szCs w:val="21"/>
              </w:rPr>
              <w:t xml:space="preserve">0,0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E4a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Контраст плотности лучей в коридоре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×5,47</w:t>
            </w:r>
          </w:p>
        </w:tc>
        <w:tc>
          <w:tcPr>
            <w:tcW w:type="pct" w:w="2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E4c</w:t>
            </w:r>
          </w:p>
        </w:tc>
      </w:tr>
    </w:tbl>
    <w:p>
      <w:pPr>
        <w:pStyle w:val="Heading1"/>
        <w:spacing w:after="360" w:before="480" w:line="360"/>
        <w:jc w:val="center"/>
      </w:pPr>
      <w:bookmarkStart w:id="100017" w:name="_Toc100017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4. E6: скан по анизотропии и универсальность окна аттрактора</w:t>
      </w:r>
      <w:bookmarkEnd w:id="100017"/>
    </w:p>
    <w:p>
      <w:pPr>
        <w:pStyle w:val="Heading2"/>
        <w:spacing w:after="240" w:before="360" w:line="360"/>
      </w:pPr>
      <w:bookmarkStart w:id="100018" w:name="_Toc100018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4.1. Постановка скана</w:t>
      </w:r>
      <w:bookmarkEnd w:id="100018"/>
    </w:p>
    <w:p>
      <w:pPr>
        <w:spacing w:after="0" w:line="360"/>
        <w:ind w:firstLine="567"/>
        <w:jc w:val="both"/>
      </w:pPr>
      <w:r>
        <w:t xml:space="preserve">Лучевой скан E6a варьирует два безразмерных управления — длину склона s и силу анизотропии η: пять значений η ∈ {9, 16, 25, 100, 400}, двенадцать наклонов s ∈ [0,005; 0,14] и ансамбль из 12 лучей на каждую пару (η, s) в симметричной шестигранной камере с y_v = 0,35. Два технических решения существенны. Первое: бюджет отскоков масштабируется с η (500 при η ≤ 100 и 2500 при η = 400), поскольку и период аттрактора, и длительность транзиента растут с анизотропией — при фиксированном бюджете большие η выглядели бы «не захватывающими», что и было обнаружено и устранено на ранней версии скана. Второе: доля захвата измеряется детектором предельного цикла с допуском 10⁻⁶, одинаковым для всех η.</w:t>
      </w:r>
    </w:p>
    <w:p>
      <w:pPr>
        <w:spacing w:after="0" w:line="360"/>
        <w:ind w:firstLine="567"/>
        <w:jc w:val="both"/>
      </w:pPr>
      <w:r>
        <w:t xml:space="preserve">Волновой скан E6b решает анизотропное уравнение Гельмгольца (глава 5) при η ∈ {4, 9, 16, 36} с фиксированной камерой, направленным источником и полосным усреднением по четырём частотам вокруг f = 9.</w:t>
      </w:r>
    </w:p>
    <w:p>
      <w:pPr>
        <w:pStyle w:val="Heading2"/>
        <w:spacing w:after="240" w:before="360" w:line="360"/>
      </w:pPr>
      <w:bookmarkStart w:id="100019" w:name="_Toc100019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4.2. Результат: окно аттрактора универсально в u = s·√η</w:t>
      </w:r>
      <w:bookmarkEnd w:id="100019"/>
    </w:p>
    <w:p>
      <w:pPr>
        <w:spacing w:after="0" w:line="360"/>
        <w:ind w:firstLine="567"/>
        <w:jc w:val="both"/>
      </w:pPr>
      <w:r>
        <w:t xml:space="preserve">Доля захвата как функция s для каждого η немонотонна: при слишком мелких склонах каскад слаб и лучи не организуются, при слишком крутых — маршрут разрушается. Удивительный факт состоит в том, что ОБЕ границы этого окна коллапсируют в единую переменную u = s·√η: сглаженные кривые захвата для всех пяти η дают нижнюю границу u₁ = 0,176 ± 0,041 и верхнюю u₂ = 0,490 ± 0,084 (рис. 4.1а, б; табл. 4.1). Нижняя граница отражает необходимость каскада, превышающего ширину конуса ~1/√η, верхняя — деградацию усиления Виета при приближении склона к асимптоте дисперсии.</w:t>
      </w:r>
    </w:p>
    <w:p>
      <w:pPr>
        <w:spacing w:after="0" w:line="360"/>
        <w:ind w:firstLine="567"/>
        <w:jc w:val="both"/>
      </w:pPr>
      <w:r>
        <w:t xml:space="preserve">Отсюда следует уточнение наивного резонансного критерия главы 2: формальный масштаб s* = 1/√η (u = 1) ЗАВЫШАЕТ окно — фактически аттрактор исчезает уже при u ≈ 0,5, то есть склоны должны быть заметно мельче, чем требует резонанс с асимптотой. Согласие с фазовой диаграммой E5 (граница при s ≈ 0,06–0,08 при η = 100, то есть u ≈ 0,6–0,8 по грубому сечению) восстанавливается с учётом сглаживания и более грубой сетки E5.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168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4.1. E6. (а) Коллапс кривых захвата пяти η в переменной u = s·√η; зелёная полоса — fitted-окно аттрактора, пунктир — наивный резонанс u = 1. (б) Индивидуальные окна пяти η в переменной u; сплошные линии и серые полосы — средние и стандартные отклонения u₁, u₂. (в) Анизотропия каналализации H(η) полосно-усреднённой интенсивности: рост от изотропного уровня 0,5 с насыщением при H ≈ 0,85.</w:t>
      </w:r>
    </w:p>
    <w:p>
      <w:pPr>
        <w:keepNext/>
        <w:spacing w:after="80" w:before="240" w:line="280"/>
        <w:jc w:val="center"/>
      </w:pPr>
      <w:r>
        <w:rPr>
          <w:sz w:val="21"/>
          <w:szCs w:val="21"/>
        </w:rPr>
        <w:t xml:space="preserve">Таблица 4.1. Окна аттрактора по η (0,5-пересечения сглаженной кривой захвата).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η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Нижняя граница u₁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Верхняя граница u₂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Пик доли захвата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0,135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0,39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0,12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0,56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25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0,225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0,50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100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0,20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0,60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0,92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400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0,20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0,40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0,92</w:t>
            </w:r>
          </w:p>
        </w:tc>
      </w:tr>
      <w:tr>
        <w:trPr>
          <w:cantSplit/>
        </w:trP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пул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0,176 ± 0,041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0,490 ± 0,084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240" w:before="360" w:line="360"/>
      </w:pPr>
      <w:bookmarkStart w:id="100020" w:name="_Toc100020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4.3. Волновой уровень: каналализация поля</w:t>
      </w:r>
      <w:bookmarkEnd w:id="100020"/>
    </w:p>
    <w:p>
      <w:pPr>
        <w:spacing w:after="0" w:line="360"/>
        <w:ind w:firstLine="567"/>
        <w:jc w:val="both"/>
      </w:pPr>
      <w:r>
        <w:t xml:space="preserve">Полосно-усреднённые карты |E|² при η = 4, 9, 16, 36 демонстрируют морфологический переход: от почти изотропного спекля при η = 4 к узким вертикальным каналам при η = 36 — волновая картина «запирается» в конусе тем жёстче, чем сильнее анизотропия. Количественная мера — спектральная анизотропия H интенсивности: доля спектрального веса паттерна |E|² при |q</w:t>
      </w:r>
      <w:r>
        <w:rPr>
          <w:vertAlign w:val="subscript"/>
        </w:rPr>
        <w:t xml:space="preserve">x</w:t>
      </w:r>
      <w:r>
        <w:t xml:space="preserve">| &gt; |q</w:t>
      </w:r>
      <w:r>
        <w:rPr>
          <w:vertAlign w:val="subscript"/>
        </w:rPr>
        <w:t xml:space="preserve">y</w:t>
      </w:r>
      <w:r>
        <w:t xml:space="preserve">| (каналы вдоль y) над полным весом при q &gt; 3. H растёт с η от 0,779 (η = 4) до 0,866 (η = 16) с насыщением при ≈ 0,85 (рис. 4.1в); изотропный уровень для сравнения — 0,5. Насыщение отражает конечную угловую полосу источника и рассеяние на полости: каналализация не может стать идеальной даже при η → ∞.</w:t>
      </w:r>
    </w:p>
    <w:p>
      <w:pPr>
        <w:pStyle w:val="Heading1"/>
        <w:spacing w:after="360" w:before="480" w:line="360"/>
        <w:jc w:val="center"/>
      </w:pPr>
      <w:bookmarkStart w:id="100021" w:name="_Toc100021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5. Волновая модель I: частотная область (Гельмгольц)</w:t>
      </w:r>
      <w:bookmarkEnd w:id="100021"/>
    </w:p>
    <w:p>
      <w:pPr>
        <w:pStyle w:val="Heading2"/>
        <w:spacing w:after="240" w:before="360" w:line="360"/>
      </w:pPr>
      <w:bookmarkStart w:id="100022" w:name="_Toc100022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5.1. Постановка и дискретизация</w:t>
      </w:r>
      <w:bookmarkEnd w:id="100022"/>
    </w:p>
    <w:p>
      <w:pPr>
        <w:spacing w:after="0" w:line="360"/>
        <w:ind w:firstLine="567"/>
        <w:jc w:val="both"/>
      </w:pPr>
      <w:r>
        <w:t xml:space="preserve">Частотная модель решает анизотропное уравнение Гельмгольца для внеплоскостного поля E = E_z внутри полигональной камеры с идеально проводящей границей E|_wall = 0: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t xml:space="preserve">(1/</w:t>
      </w:r>
      <w:r>
        <w:rPr>
          <w:i/>
          <w:iCs/>
        </w:rPr>
        <w:t xml:space="preserve">μ</w:t>
      </w:r>
      <w:r>
        <w:rPr>
          <w:vertAlign w:val="subscript"/>
        </w:rPr>
        <w:t xml:space="preserve">y</w:t>
      </w:r>
      <w:r>
        <w:t xml:space="preserve">) </w:t>
      </w:r>
      <w:r>
        <w:rPr>
          <w:i/>
          <w:iCs/>
        </w:rPr>
        <w:t xml:space="preserve">E</w:t>
      </w:r>
      <w:r>
        <w:rPr>
          <w:vertAlign w:val="subscript"/>
        </w:rPr>
        <w:t xml:space="preserve">xx</w:t>
      </w:r>
      <w:r>
        <w:t xml:space="preserve"> + (1/</w:t>
      </w:r>
      <w:r>
        <w:rPr>
          <w:i/>
          <w:iCs/>
        </w:rPr>
        <w:t xml:space="preserve">μ</w:t>
      </w:r>
      <w:r>
        <w:rPr>
          <w:vertAlign w:val="subscript"/>
        </w:rPr>
        <w:t xml:space="preserve">x</w:t>
      </w:r>
      <w:r>
        <w:t xml:space="preserve">) </w:t>
      </w:r>
      <w:r>
        <w:rPr>
          <w:i/>
          <w:iCs/>
        </w:rPr>
        <w:t xml:space="preserve">E</w:t>
      </w:r>
      <w:r>
        <w:rPr>
          <w:vertAlign w:val="subscript"/>
        </w:rPr>
        <w:t xml:space="preserve">yy</w:t>
      </w:r>
      <w:r>
        <w:t xml:space="preserve"> + </w:t>
      </w:r>
      <w:r>
        <w:rPr>
          <w:i/>
          <w:iCs/>
        </w:rPr>
        <w:t xml:space="preserve">k</w:t>
      </w:r>
      <w:r>
        <w:rPr>
          <w:vertAlign w:val="subscript"/>
        </w:rPr>
        <w:t xml:space="preserve">0</w:t>
      </w:r>
      <w:r>
        <w:rPr>
          <w:vertAlign w:val="superscript"/>
        </w:rPr>
        <w:t xml:space="preserve">2</w:t>
      </w:r>
      <w:r>
        <w:t xml:space="preserve">(1 + </w:t>
      </w:r>
      <w:r>
        <w:rPr>
          <w:i/>
          <w:iCs/>
        </w:rPr>
        <w:t xml:space="preserve">iγ</w:t>
      </w:r>
      <w:r>
        <w:t xml:space="preserve">)</w:t>
      </w:r>
      <w:r>
        <w:rPr>
          <w:i/>
          <w:iCs/>
        </w:rPr>
        <w:t xml:space="preserve">E</w:t>
      </w:r>
      <w:r>
        <w:t xml:space="preserve"> = </w:t>
      </w:r>
      <w:r>
        <w:rPr>
          <w:i/>
          <w:iCs/>
        </w:rPr>
        <w:t xml:space="preserve">S</w:t>
      </w:r>
      <w:r>
        <w:t xml:space="preserve">,</w:t>
      </w:r>
      <w:r>
        <w:t xml:space="preserve">	(5.1)</w:t>
      </w:r>
    </w:p>
    <w:p>
      <w:pPr>
        <w:spacing w:after="0" w:line="360"/>
        <w:ind w:firstLine="567"/>
        <w:jc w:val="both"/>
      </w:pPr>
      <w:r>
        <w:t xml:space="preserve">с μ_x = 1, μ_y = −η и слабой потерей γ = 10⁻³ (регуляризация резонансов). Дискретизация пятиточечная, в матричном виде — комплексная разреженная система; решение — разреженное LU-разложение (scipy). Дисперсия плоских волн этой задачи совпадает с (2.1), так что волновая и лучевая модели описывают одну и ту же среду.</w:t>
      </w:r>
    </w:p>
    <w:p>
      <w:pPr>
        <w:pStyle w:val="Heading2"/>
        <w:spacing w:after="240" w:before="360" w:line="360"/>
      </w:pPr>
      <w:bookmarkStart w:id="100023" w:name="_Toc100023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5.2. Направленный источник и полосное усреднение</w:t>
      </w:r>
      <w:bookmarkEnd w:id="100023"/>
    </w:p>
    <w:p>
      <w:pPr>
        <w:spacing w:after="0" w:line="360"/>
        <w:ind w:firstLine="567"/>
        <w:jc w:val="both"/>
      </w:pPr>
      <w:r>
        <w:t xml:space="preserve">Протокол E4 использует два приёма, без которых маршрут в частотной картине тонет в резонансном фоне. Первый — направленный источник: гауссов пучок с фазовым градиентом захваченного лучевого направления, так что энергия вводится прямо на маршрут. Второй — полосное усреднение: |E|² усредняется по четырём частотам внутри каждой полосы (f = 6, 9, 14); стоячие френгели смещаются с частотой, а геометрический след аттрактора инвариантен, поэтому усреднение проявляет маршрут и одновременно демонстрирует его широкополосность. Резонансный фон без усреднения может полностью замаскировать коридор — это же явление определило выбор импульсного протокола во временной области (глава 6).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5.1. Полосно-усреднённые |E|² в трёх частотных полосах (направленный источник; η = 9, сетка 384×384). Голубым показан лучевой маршрут.</w:t>
      </w:r>
    </w:p>
    <w:p>
      <w:pPr>
        <w:pStyle w:val="Heading2"/>
        <w:spacing w:after="240" w:before="360" w:line="360"/>
      </w:pPr>
      <w:bookmarkStart w:id="100024" w:name="_Toc100024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5.3. Наблюдения</w:t>
      </w:r>
      <w:bookmarkEnd w:id="100024"/>
    </w:p>
    <w:p>
      <w:pPr>
        <w:spacing w:after="0" w:line="360"/>
        <w:ind w:firstLine="567"/>
        <w:jc w:val="both"/>
      </w:pPr>
      <w:r>
        <w:t xml:space="preserve">Интерференционные корреляции полосно-усреднённых карт между частотами положительны, но умеренны (коэффициенты 0,10–0,15): общий геометрический след присутствует, однако тонкая каскадная структура маркируется заново на каждой частоте. Пространственная разрешимость каскада ограничена сеткой — численный аналог ячеечного обрыва; в главе 6 этот предел становится физическим параметром модели.</w:t>
      </w:r>
    </w:p>
    <w:p>
      <w:pPr>
        <w:pStyle w:val="Heading1"/>
        <w:spacing w:after="360" w:before="480" w:line="360"/>
        <w:jc w:val="center"/>
      </w:pPr>
      <w:bookmarkStart w:id="100025" w:name="_Toc100025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6. Волновая модель II: временная область с обрезанием ячейки (E7)</w:t>
      </w:r>
      <w:bookmarkEnd w:id="100025"/>
    </w:p>
    <w:p>
      <w:pPr>
        <w:pStyle w:val="Heading2"/>
        <w:spacing w:after="240" w:before="360" w:line="360"/>
      </w:pPr>
      <w:bookmarkStart w:id="100026" w:name="_Toc100026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6.1. Наивная недисперсионная модель некорректна</w:t>
      </w:r>
      <w:bookmarkEnd w:id="100026"/>
    </w:p>
    <w:p>
      <w:pPr>
        <w:spacing w:after="0" w:line="360"/>
        <w:ind w:firstLine="567"/>
        <w:jc w:val="both"/>
      </w:pPr>
      <w:r>
        <w:t xml:space="preserve">Частотная модель главы 5 неограниченно-неопределённа: тензор μ = diag(1, −η) считается не зависящим от частоты. Если понимать это буквально как задачу Коши во времени, модель теряет корректность: моды с ω² = c²(k</w:t>
      </w:r>
      <w:r>
        <w:rPr>
          <w:vertAlign w:val="subscript"/>
        </w:rPr>
        <w:t xml:space="preserve">y</w:t>
      </w:r>
      <w:r>
        <w:t xml:space="preserve">² − k</w:t>
      </w:r>
      <w:r>
        <w:rPr>
          <w:vertAlign w:val="subscript"/>
        </w:rPr>
        <w:t xml:space="preserve">x</w:t>
      </w:r>
      <w:r>
        <w:t xml:space="preserve">²/η) &lt; 0 растут экспоненциально. На сетке наиболее быстрая неустойчивая мода лежит у найквистовского k</w:t>
      </w:r>
      <w:r>
        <w:rPr>
          <w:vertAlign w:val="subscript"/>
        </w:rPr>
        <w:t xml:space="preserve">x</w:t>
      </w:r>
      <w:r>
        <w:t xml:space="preserve">: дискретная скорость роста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γ</w:t>
      </w:r>
      <w:r>
        <w:rPr>
          <w:vertAlign w:val="subscript"/>
        </w:rPr>
        <w:t xml:space="preserve">max</w:t>
      </w:r>
      <w:r>
        <w:t xml:space="preserve"> = 2/(Δ</w:t>
      </w:r>
      <w:r>
        <w:rPr>
          <w:i/>
          <w:iCs/>
        </w:rPr>
        <w:t xml:space="preserve">x</w:t>
      </w:r>
      <w:r>
        <w:t xml:space="preserve">·√</w:t>
      </w:r>
      <w:r>
        <w:rPr>
          <w:i/>
          <w:iCs/>
        </w:rPr>
        <w:t xml:space="preserve">η</w:t>
      </w:r>
      <w:r>
        <w:t xml:space="preserve">)</w:t>
      </w:r>
      <w:r>
        <w:t xml:space="preserve">	(6.1)</w:t>
      </w:r>
    </w:p>
    <w:p>
      <w:pPr>
        <w:spacing w:after="0" w:line="360"/>
        <w:ind w:firstLine="567"/>
        <w:jc w:val="both"/>
      </w:pPr>
      <w:r>
        <w:t xml:space="preserve">составляет 51 единиц времени⁻¹ при η = 100 и Δx = 1/255 — поле проходит десятки е-фолдов за единицу времени, и численное решение взрывается за доли единицы (контроль E7c, раздел 6.7). Это не артефакт сетки, а свойство континуальной модели: неограниченный рост |k| при фиксированной частоте несовместим с пассивностью. Реальные гиперболические метаматериалы дисперсионны — и эта дисперсия обязательна.</w:t>
      </w:r>
    </w:p>
    <w:p>
      <w:pPr>
        <w:pStyle w:val="Heading2"/>
        <w:spacing w:after="240" w:before="360" w:line="360"/>
      </w:pPr>
      <w:bookmarkStart w:id="100027" w:name="_Toc100027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6.2. Друдовская регуляризация и безусловная корректность</w:t>
      </w:r>
      <w:bookmarkEnd w:id="100027"/>
    </w:p>
    <w:p>
      <w:pPr>
        <w:spacing w:after="0" w:line="360"/>
        <w:ind w:firstLine="567"/>
        <w:jc w:val="both"/>
      </w:pPr>
      <w:r>
        <w:t xml:space="preserve">Мы моделируем отрицательную компоненту откликом проводочной (wire-mesh) метасреды — друдовской формой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μ</w:t>
      </w:r>
      <w:r>
        <w:rPr>
          <w:vertAlign w:val="subscript"/>
        </w:rPr>
        <w:t xml:space="preserve">y</w:t>
      </w:r>
      <w:r>
        <w:t xml:space="preserve">(</w:t>
      </w:r>
      <w:r>
        <w:rPr>
          <w:i/>
          <w:iCs/>
        </w:rPr>
        <w:t xml:space="preserve">ω</w:t>
      </w:r>
      <w:r>
        <w:t xml:space="preserve">) = 1 − 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rPr>
          <w:vertAlign w:val="superscript"/>
        </w:rPr>
        <w:t xml:space="preserve">2</w:t>
      </w:r>
      <w:r>
        <w:t xml:space="preserve">/</w:t>
      </w:r>
      <w:r>
        <w:rPr>
          <w:i/>
          <w:iCs/>
        </w:rPr>
        <w:t xml:space="preserve">ω</w:t>
      </w:r>
      <w:r>
        <w:rPr>
          <w:vertAlign w:val="superscript"/>
        </w:rPr>
        <w:t xml:space="preserve">2</w:t>
      </w:r>
      <w:r>
        <w:t xml:space="preserve">,</w:t>
      </w:r>
      <w:r>
        <w:t xml:space="preserve">	(6.2)</w:t>
      </w:r>
    </w:p>
    <w:p>
      <w:pPr>
        <w:spacing w:after="0" w:line="360"/>
        <w:ind w:firstLine="567"/>
        <w:jc w:val="both"/>
      </w:pPr>
      <w:r>
        <w:t xml:space="preserve">где плазменная частота задаётся элементарной ячейкой: ω_p = πc/a, a = L/N — размер ячейки, N — число ячеек поперёк камеры. Вводя вспомогательное поле поляризации χ, приводим задачу к двухполевой системе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E</w:t>
      </w:r>
      <w:r>
        <w:rPr>
          <w:vertAlign w:val="subscript"/>
        </w:rPr>
        <w:t xml:space="preserve">tt</w:t>
      </w:r>
      <w:r>
        <w:t xml:space="preserve"> = 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2</w:t>
      </w:r>
      <w:r>
        <w:t xml:space="preserve">(Δ</w:t>
      </w:r>
      <w:r>
        <w:rPr>
          <w:i/>
          <w:iCs/>
        </w:rPr>
        <w:t xml:space="preserve">E</w:t>
      </w:r>
      <w:r>
        <w:t xml:space="preserve"> + ∂</w:t>
      </w:r>
      <w:r>
        <w:rPr>
          <w:vertAlign w:val="subscript"/>
        </w:rPr>
        <w:t xml:space="preserve">x</w:t>
      </w:r>
      <w:r>
        <w:rPr>
          <w:i/>
          <w:iCs/>
        </w:rPr>
        <w:t xml:space="preserve">χ</w:t>
      </w:r>
      <w:r>
        <w:t xml:space="preserve">) − </w:t>
      </w:r>
      <w:r>
        <w:rPr>
          <w:i/>
          <w:iCs/>
        </w:rPr>
        <w:t xml:space="preserve">σ E</w:t>
      </w:r>
      <w:r>
        <w:rPr>
          <w:vertAlign w:val="subscript"/>
        </w:rPr>
        <w:t xml:space="preserve">t</w:t>
      </w:r>
      <w:r>
        <w:t xml:space="preserve">,</w:t>
      </w:r>
      <w:r>
        <w:t xml:space="preserve">	(6.3)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χ</w:t>
      </w:r>
      <w:r>
        <w:rPr>
          <w:vertAlign w:val="subscript"/>
        </w:rPr>
        <w:t xml:space="preserve">tt</w:t>
      </w:r>
      <w:r>
        <w:t xml:space="preserve"> = −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rPr>
          <w:vertAlign w:val="superscript"/>
        </w:rPr>
        <w:t xml:space="preserve">2</w:t>
      </w:r>
      <w:r>
        <w:t xml:space="preserve">(</w:t>
      </w:r>
      <w:r>
        <w:rPr>
          <w:i/>
          <w:iCs/>
        </w:rPr>
        <w:t xml:space="preserve">χ</w:t>
      </w:r>
      <w:r>
        <w:t xml:space="preserve"> + ∂</w:t>
      </w:r>
      <w:r>
        <w:rPr>
          <w:vertAlign w:val="subscript"/>
        </w:rPr>
        <w:t xml:space="preserve">x</w:t>
      </w:r>
      <w:r>
        <w:rPr>
          <w:i/>
          <w:iCs/>
        </w:rPr>
        <w:t xml:space="preserve">E</w:t>
      </w:r>
      <w:r>
        <w:t xml:space="preserve">) − </w:t>
      </w:r>
      <w:r>
        <w:rPr>
          <w:i/>
          <w:iCs/>
        </w:rPr>
        <w:t xml:space="preserve">σχ</w:t>
      </w:r>
      <w:r>
        <w:rPr>
          <w:vertAlign w:val="subscript"/>
        </w:rPr>
        <w:t xml:space="preserve">t</w:t>
      </w:r>
      <w:r>
        <w:t xml:space="preserve">.</w:t>
      </w:r>
      <w:r>
        <w:t xml:space="preserve">	(6.4)</w:t>
      </w:r>
    </w:p>
    <w:p>
      <w:pPr>
        <w:spacing w:after="0" w:line="360"/>
        <w:ind w:firstLine="567"/>
        <w:jc w:val="both"/>
      </w:pPr>
      <w:r>
        <w:t xml:space="preserve">Дисперсионное уравнение этой системы квадратично по Ω = ω²: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t xml:space="preserve">Ω</w:t>
      </w:r>
      <w:r>
        <w:rPr>
          <w:vertAlign w:val="superscript"/>
        </w:rPr>
        <w:t xml:space="preserve">2</w:t>
      </w:r>
      <w:r>
        <w:t xml:space="preserve"> − 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S</w:t>
      </w:r>
      <w:r>
        <w:t xml:space="preserve">Ω + 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rPr>
          <w:vertAlign w:val="superscript"/>
        </w:rPr>
        <w:t xml:space="preserve">2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rPr>
          <w:vertAlign w:val="superscript"/>
        </w:rPr>
        <w:t xml:space="preserve">2</w:t>
      </w:r>
      <w:r>
        <w:t xml:space="preserve"> = 0,   </w:t>
      </w:r>
      <w:r>
        <w:rPr>
          <w:i/>
          <w:iCs/>
        </w:rPr>
        <w:t xml:space="preserve">S</w:t>
      </w:r>
      <w:r>
        <w:t xml:space="preserve"> = 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rPr>
          <w:vertAlign w:val="superscript"/>
        </w:rPr>
        <w:t xml:space="preserve">2</w:t>
      </w:r>
      <w:r>
        <w:t xml:space="preserve">/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2</w:t>
      </w:r>
      <w:r>
        <w:t xml:space="preserve"> + </w:t>
      </w:r>
      <w:r>
        <w:rPr>
          <w:i/>
          <w:iCs/>
        </w:rPr>
        <w:t xml:space="preserve">k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 + 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rPr>
          <w:vertAlign w:val="superscript"/>
        </w:rPr>
        <w:t xml:space="preserve">2</w:t>
      </w:r>
      <w:r>
        <w:t xml:space="preserve">,</w:t>
      </w:r>
      <w:r>
        <w:t xml:space="preserve">	(6.5)</w:t>
      </w:r>
    </w:p>
    <w:p>
      <w:pPr>
        <w:spacing w:after="0" w:line="360"/>
        <w:ind w:firstLine="567"/>
        <w:jc w:val="both"/>
      </w:pPr>
      <w:r>
        <w:t xml:space="preserve">с дискриминантом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c</w:t>
      </w:r>
      <w:r>
        <w:rPr>
          <w:vertAlign w:val="superscript"/>
        </w:rPr>
        <w:t xml:space="preserve">4</w:t>
      </w:r>
      <w:r>
        <w:t xml:space="preserve">[</w:t>
      </w:r>
      <w:r>
        <w:rPr>
          <w:i/>
          <w:iCs/>
        </w:rPr>
        <w:t xml:space="preserve">k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 + (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t xml:space="preserve"> − 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t xml:space="preserve">/</w:t>
      </w:r>
      <w:r>
        <w:rPr>
          <w:i/>
          <w:iCs/>
        </w:rPr>
        <w:t xml:space="preserve">c</w:t>
      </w:r>
      <w:r>
        <w:t xml:space="preserve">)</w:t>
      </w:r>
      <w:r>
        <w:rPr>
          <w:vertAlign w:val="superscript"/>
        </w:rPr>
        <w:t xml:space="preserve">2</w:t>
      </w:r>
      <w:r>
        <w:t xml:space="preserve">][</w:t>
      </w:r>
      <w:r>
        <w:rPr>
          <w:i/>
          <w:iCs/>
        </w:rPr>
        <w:t xml:space="preserve">k</w:t>
      </w:r>
      <w:r>
        <w:rPr>
          <w:vertAlign w:val="subscript"/>
        </w:rPr>
        <w:t xml:space="preserve">x</w:t>
      </w:r>
      <w:r>
        <w:rPr>
          <w:vertAlign w:val="superscript"/>
        </w:rPr>
        <w:t xml:space="preserve">2</w:t>
      </w:r>
      <w:r>
        <w:t xml:space="preserve"> + (</w:t>
      </w:r>
      <w:r>
        <w:rPr>
          <w:i/>
          <w:iCs/>
        </w:rPr>
        <w:t xml:space="preserve">k</w:t>
      </w:r>
      <w:r>
        <w:rPr>
          <w:vertAlign w:val="subscript"/>
        </w:rPr>
        <w:t xml:space="preserve">y</w:t>
      </w:r>
      <w:r>
        <w:t xml:space="preserve"> + 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t xml:space="preserve">/</w:t>
      </w:r>
      <w:r>
        <w:rPr>
          <w:i/>
          <w:iCs/>
        </w:rPr>
        <w:t xml:space="preserve">c</w:t>
      </w:r>
      <w:r>
        <w:t xml:space="preserve">)</w:t>
      </w:r>
      <w:r>
        <w:rPr>
          <w:vertAlign w:val="superscript"/>
        </w:rPr>
        <w:t xml:space="preserve">2</w:t>
      </w:r>
      <w:r>
        <w:t xml:space="preserve">] ≥ 0.</w:t>
      </w:r>
      <w:r>
        <w:t xml:space="preserve">	(6.6)</w:t>
      </w:r>
    </w:p>
    <w:p>
      <w:pPr>
        <w:spacing w:after="0" w:line="360"/>
        <w:ind w:firstLine="567"/>
        <w:jc w:val="both"/>
      </w:pPr>
      <w:r>
        <w:t xml:space="preserve">Оба корня вещественны и неотрицательны при ЛЮБОМ k: дисперсионная система безусловно корректна ровно так, как того требует пассивность. Низшая ветвь ниже ω_p — гиперболическая; высшая — обычный эллиптический предел при ω &gt;&gt; ω_p. Накопленная без потерь и без источника контрольная эволюция сохраняет максимум поля с отношением 1,00 за 8000 шагов — прямая демонстрация корректности (для сравнения: наивная модель в тех же условиях взрывается, раздел 6.7).</w:t>
      </w:r>
    </w:p>
    <w:p>
      <w:pPr>
        <w:pStyle w:val="Heading2"/>
        <w:spacing w:after="240" w:before="360" w:line="360"/>
      </w:pPr>
      <w:bookmarkStart w:id="100028" w:name="_Toc100028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6.3. Точное соответствие с лучевой моделью</w:t>
      </w:r>
      <w:bookmarkEnd w:id="100028"/>
    </w:p>
    <w:p>
      <w:pPr>
        <w:spacing w:after="0" w:line="360"/>
        <w:ind w:firstLine="567"/>
        <w:jc w:val="both"/>
      </w:pPr>
      <w:r>
        <w:t xml:space="preserve">На фиксированной частоте накачки ω₀ &lt; ω_p среда (6.2) в точности эквивалентна неограниченно-гиперболической среде лучевой модели с эффективной анизотропией</w:t>
      </w:r>
    </w:p>
    <w:p>
      <w:pPr>
        <w:tabs>
          <w:tab w:val="center" w:pos="4394"/>
          <w:tab w:val="right" w:pos="8788"/>
        </w:tabs>
        <w:spacing w:after="120" w:before="120" w:line="360"/>
      </w:pPr>
      <w:r>
        <w:t xml:space="preserve">	</w:t>
      </w:r>
      <w:r>
        <w:rPr>
          <w:i/>
          <w:iCs/>
        </w:rPr>
        <w:t xml:space="preserve">η</w:t>
      </w:r>
      <w:r>
        <w:rPr>
          <w:vertAlign w:val="subscript"/>
        </w:rPr>
        <w:t xml:space="preserve">eff</w:t>
      </w:r>
      <w:r>
        <w:t xml:space="preserve"> = (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t xml:space="preserve">/</w:t>
      </w:r>
      <w:r>
        <w:rPr>
          <w:i/>
          <w:iCs/>
        </w:rPr>
        <w:t xml:space="preserve">ω</w:t>
      </w:r>
      <w:r>
        <w:t xml:space="preserve">₀)</w:t>
      </w:r>
      <w:r>
        <w:rPr>
          <w:vertAlign w:val="superscript"/>
        </w:rPr>
        <w:t xml:space="preserve">2</w:t>
      </w:r>
      <w:r>
        <w:t xml:space="preserve"> − 1   ⟺   </w:t>
      </w:r>
      <w:r>
        <w:rPr>
          <w:i/>
          <w:iCs/>
        </w:rPr>
        <w:t xml:space="preserve">ω</w:t>
      </w:r>
      <w:r>
        <w:t xml:space="preserve">₀ = </w:t>
      </w:r>
      <w:r>
        <w:rPr>
          <w:i/>
          <w:iCs/>
        </w:rPr>
        <w:t xml:space="preserve">ω</w:t>
      </w:r>
      <w:r>
        <w:rPr>
          <w:vertAlign w:val="subscript"/>
        </w:rPr>
        <w:t xml:space="preserve">p</w:t>
      </w:r>
      <w:r>
        <w:t xml:space="preserve">/√(</w:t>
      </w:r>
      <w:r>
        <w:rPr>
          <w:i/>
          <w:iCs/>
        </w:rPr>
        <w:t xml:space="preserve">η</w:t>
      </w:r>
      <w:r>
        <w:t xml:space="preserve"> + 1).</w:t>
      </w:r>
      <w:r>
        <w:t xml:space="preserve">	(6.7)</w:t>
      </w:r>
    </w:p>
    <w:p>
      <w:pPr>
        <w:spacing w:after="0" w:line="360"/>
        <w:ind w:firstLine="567"/>
        <w:jc w:val="both"/>
      </w:pPr>
      <w:r>
        <w:t xml:space="preserve">Тем самым η = 100, принятое во всех лучевых экспериментах, соответствует ω₀/ω_p = 1/√101 ≈ 0,0995, а ячейка входит через ω_p: плечо изочастотной гиперболы на фиксированной частоте загибается при |k</w:t>
      </w:r>
      <w:r>
        <w:rPr>
          <w:vertAlign w:val="subscript"/>
        </w:rPr>
        <w:t xml:space="preserve">x</w:t>
      </w:r>
      <w:r>
        <w:t xml:space="preserve">| ≈ ω_p/c — каскад обрывается на масштабе ячейки (складка Бриллюэна), временной аналог наблюдаемого в эксперименте обрыва каскада. Обрезание ячейки здесь — не численный приём, а физический параметр: скан по N (раздел 6.6) меняет именно его.</w:t>
      </w:r>
    </w:p>
    <w:p>
      <w:pPr>
        <w:pStyle w:val="Heading2"/>
        <w:spacing w:after="240" w:before="360" w:line="360"/>
      </w:pPr>
      <w:bookmarkStart w:id="100029" w:name="_Toc100029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6.4. Схема ADE-FDTD</w:t>
      </w:r>
      <w:bookmarkEnd w:id="100029"/>
    </w:p>
    <w:p>
      <w:pPr>
        <w:spacing w:after="0" w:line="360"/>
        <w:ind w:firstLine="567"/>
        <w:jc w:val="both"/>
      </w:pPr>
      <w:r>
        <w:t xml:space="preserve">Система (6.3)–(6.4) интегрируется явной схемой leapfrog: поля E и χ и их скорости хранятся на целых шагах, лапласиан и производная ∂</w:t>
      </w:r>
      <w:r>
        <w:rPr>
          <w:vertAlign w:val="subscript"/>
        </w:rPr>
        <w:t xml:space="preserve">x</w:t>
      </w:r>
      <w:r>
        <w:t xml:space="preserve"> берутся центральными разностями с гало Дирихле (PEC), вне камеры поля обнуляются маской. Шаг времени dt = 0,3·Δx/c устойчив для всей связанной системы (максимальная частота сетки соответствует эллиптической ветви у найквиста). Накачка — «мягкий» источник: ускорение в пяти узлах вертикальной антенны с огибающей Гаусса шириной в четыре периода накачки (добротность ~13, полоса ~4%). Потеря σ = 0,01 одинакова для гиперболической среды и контролей.</w:t>
      </w:r>
    </w:p>
    <w:p>
      <w:pPr>
        <w:pStyle w:val="Heading2"/>
        <w:spacing w:after="240" w:before="360" w:line="360"/>
      </w:pPr>
      <w:bookmarkStart w:id="100030" w:name="_Toc100030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6.5. E7a: импульсная накачка — воронка и каскад в реальном времени</w:t>
      </w:r>
      <w:bookmarkEnd w:id="100030"/>
    </w:p>
    <w:p>
      <w:pPr>
        <w:spacing w:after="0" w:line="360"/>
        <w:ind w:firstLine="567"/>
        <w:jc w:val="both"/>
      </w:pPr>
      <w:r>
        <w:t xml:space="preserve">Основной прогон: N = 128 ячеек (сетка 256×256, по два узла на ячейку), ω_p = 402,1, ω₀ = 40,01, η_eff = 100,0 — в точности среда лучевых экспериментов, λ₀ = 0,157 (6,4 длины волны поперёк камеры, 20 узлов на длину волны). Узкополосный импульс вводится вертикальной антенной в (0,5; 0,60) и далее эволюционирует свободно при σ = 0,01; анализ — в баллистическом окне t ≤ 40.</w:t>
      </w:r>
    </w:p>
    <w:p>
      <w:pPr>
        <w:spacing w:after="0" w:line="360"/>
        <w:ind w:firstLine="567"/>
        <w:jc w:val="both"/>
      </w:pPr>
      <w:r>
        <w:t xml:space="preserve">Мгновенные карты |E|² показывают, как гиперболическая среда канализирует импульс в вертикальные коридоры, совпадающие с лучевым маршрутом, тогда как изотропный контроль (ω_p = 0 — та же камера, тот же импульс) даёт равномерный спекль (рис. 6.1, верх). Доля энергии импульса в коридоре маршрута (полоса ±0,04 вокруг лучевой петли) систематически выше у гиперболической среды; при t = 24 отношение захвата составляет 1,43 (0,0508 против 0,0355 у контроля); быстрый выход на плато происходит за t ≈ 0,8 — за несколько пролётов камеры.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6.1. E7a. Верх (слева направо): гиперболическая среда при t = 6 и t = 40; изотропный контроль при t = 40; голубым — лучевой маршрут. Низ: доля энергии в коридоре F(t) для обеих сред; k-спектр при t = 24 с наложенной изочастотой (красный пунктир); k</w:t>
      </w:r>
      <w:r>
        <w:rPr>
          <w:sz w:val="21"/>
          <w:szCs w:val="21"/>
          <w:vertAlign w:val="subscript"/>
        </w:rPr>
        <w:t xml:space="preserve">x</w:t>
      </w:r>
      <w:r>
        <w:rPr>
          <w:sz w:val="21"/>
          <w:szCs w:val="21"/>
        </w:rPr>
        <w:t xml:space="preserve">-маргиналы при t = 3 и t = 40 с отметкой складки ω_p/c.</w:t>
      </w:r>
    </w:p>
    <w:p>
      <w:pPr>
        <w:spacing w:after="0" w:line="360"/>
        <w:ind w:firstLine="567"/>
        <w:jc w:val="both"/>
      </w:pPr>
      <w:r>
        <w:t xml:space="preserve">k-пространство даёт прямое изображение каскада: спектральное вещество заперто на ветвях изочастотной гиперболы (наложение на рис. 6.1 — совпадение практически идеальное) и со временем растекается вдоль них от |k</w:t>
      </w:r>
      <w:r>
        <w:rPr>
          <w:vertAlign w:val="subscript"/>
        </w:rPr>
        <w:t xml:space="preserve">x</w:t>
      </w:r>
      <w:r>
        <w:t xml:space="preserve">| ≈ 100 к |k</w:t>
      </w:r>
      <w:r>
        <w:rPr>
          <w:vertAlign w:val="subscript"/>
        </w:rPr>
        <w:t xml:space="preserve">x</w:t>
      </w:r>
      <w:r>
        <w:t xml:space="preserve">| ≈ 170, оставаясь на порядки ниже складки |k</w:t>
      </w:r>
      <w:r>
        <w:rPr>
          <w:vertAlign w:val="subscript"/>
        </w:rPr>
        <w:t xml:space="preserve">x</w:t>
      </w:r>
      <w:r>
        <w:t xml:space="preserve">| ≈ ω_p/c = 400. Накопленный фронт каскада |k</w:t>
      </w:r>
      <w:r>
        <w:rPr>
          <w:vertAlign w:val="subscript"/>
        </w:rPr>
        <w:t xml:space="preserve">x</w:t>
      </w:r>
      <w:r>
        <w:t xml:space="preserve">|₉₉ (99-й процентиль маргинала) монотонно выходит на насыщение: 156 → 169 → 163. Совокупно это — временная реализация механизма «каскад вдоль гиперболы до обрыва на ячейке».</w:t>
      </w:r>
    </w:p>
    <w:p>
      <w:pPr>
        <w:pStyle w:val="Heading2"/>
        <w:spacing w:after="240" w:before="360" w:line="360"/>
      </w:pPr>
      <w:bookmarkStart w:id="100031" w:name="_Toc10003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6.6. E7b: скан обрезания — гомогенизационная сходимость аттрактора</w:t>
      </w:r>
      <w:bookmarkEnd w:id="100031"/>
    </w:p>
    <w:p>
      <w:pPr>
        <w:spacing w:after="0" w:line="360"/>
        <w:ind w:firstLine="567"/>
        <w:jc w:val="both"/>
      </w:pPr>
      <w:r>
        <w:t xml:space="preserve">При фиксированной η_eff = 100 частота накачки масштабируется с числом ячеек: ω₀ = πN/(c·√101), и число гиперболических длин волн поперёк камеры растёт как N/(2·√101). Скан N ∈ {32, 48, 64, 96, 128, 192} покрывает диапазон от 1,6 до 9,6 длин волн поперёк камеры (сетка — два узла на ячейку, до 384×384). Пиковая доля энергии в коридоре маршрута растёт монотонно в десять раз — от 0,0149 при N = 32 до 0,1525 при N = 192 (табл. 6.1, рис. 6.2а): аттрактор существует в волновой модели лишь настолько, насколько камера гомогенна на масштабе маршрута. При N = 32 (менее двух длин волн поперёк) полость не может выразить маршрут вовсе — захват остаётся на уровне фона; при N ≥ 96 кривая выходит на пологий режим, согласующийся с эмпирическим требованием «несколько длин волн на деталь маршрута».</w:t>
      </w:r>
    </w:p>
    <w:p>
      <w:pPr>
        <w:keepNext/>
        <w:spacing w:after="80" w:before="240" w:line="280"/>
        <w:jc w:val="center"/>
      </w:pPr>
      <w:r>
        <w:rPr>
          <w:sz w:val="21"/>
          <w:szCs w:val="21"/>
        </w:rPr>
        <w:t xml:space="preserve">Таблица 6.1. E7b: пиковый захват коридора маршрута versus число ячеек (η_eff = 100 фиксировано).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Ячеек N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Длин волн поперёк камеры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Пиковая доля в коридоре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Контраст к площади коридора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1,59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0,0149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×0,10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48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2,39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0,0250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×0,16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3,18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0,0373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×0,24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96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4,78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0,0648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×0,41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128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6,37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0,1011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×0,64</w:t>
            </w:r>
          </w:p>
        </w:tc>
      </w:tr>
      <w:tr>
        <w:trPr>
          <w:cantSplit/>
        </w:trPr>
        <w:tc>
          <w:tcPr>
            <w:tcW w:type="pct" w:w="1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192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9,55</w:t>
            </w:r>
          </w:p>
        </w:tc>
        <w:tc>
          <w:tcPr>
            <w:tcW w:type="pct" w:w="2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0,1525</w:t>
            </w:r>
          </w:p>
        </w:tc>
        <w:tc>
          <w:tcPr>
            <w:tcW w:type="pct" w:w="2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×0,97</w:t>
            </w:r>
          </w:p>
        </w:tc>
      </w:tr>
    </w:tbl>
    <w:p>
      <w:pPr>
        <w:keepNext/>
        <w:spacing w:before="200"/>
        <w:jc w:val="center"/>
      </w:pPr>
      <w:r>
        <w:drawing>
          <wp:inline distT="0" distB="0" distL="0" distR="0">
            <wp:extent cx="5334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6.2. E7. (а) Пиковый захват коридора versus число ячеек (лог-лог); подписи — длины волн поперёк камеры. (б) Фронт каскада |kₓ|₉₉ во времени основного прогона: насыщение существенно ниже складки IFC (ω_p/c) и найквиста сетки.</w:t>
      </w:r>
    </w:p>
    <w:p>
      <w:pPr>
        <w:pStyle w:val="Heading2"/>
        <w:spacing w:after="240" w:before="360" w:line="360"/>
      </w:pPr>
      <w:bookmarkStart w:id="100032" w:name="_Toc100032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6.7. E7c: контроль — взрыв наивной модели</w:t>
      </w:r>
      <w:bookmarkEnd w:id="100032"/>
    </w:p>
    <w:p>
      <w:pPr>
        <w:spacing w:after="0" w:line="360"/>
        <w:ind w:firstLine="567"/>
        <w:jc w:val="both"/>
      </w:pPr>
      <w:r>
        <w:t xml:space="preserve">Контрольный прогон воспроизводит наивную недисперсионную модель (раздел 6.1) в той же камере при η = 100 из локализованного начального возмущения без источника и потерь. Энергия растёт экспоненциально; измеренная по позднему окну скорость γ = 74,6 лежит между дискретной оценкой 2/(Δx·√η) = 51,0 и континуальной найквистовской π/(Δx·√η) = 80,1 — согласуется с быстрым ростом самой неустойчивой решёточной моды с добавкой leapfrog-усиления; вспышка происходит при t ≈ 0,44. Дисперсионная модель в идентичных условиях остаётся ограниченной (отношение максимума поля 1,00). Пара «взрыв/ограниченность» замыкает аргумент: временное моделирование гиперболической полости обязано включать дисперсию отрицательной компоненты, и именно она несёт обрезание по ячейке.</w:t>
      </w:r>
    </w:p>
    <w:p>
      <w:pPr>
        <w:pStyle w:val="Heading1"/>
        <w:spacing w:after="360" w:before="480" w:line="360"/>
        <w:jc w:val="center"/>
      </w:pPr>
      <w:bookmarkStart w:id="100033" w:name="_Toc100033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7. Спутник: эффект Ааронова–Бома на волнах на воде</w:t>
      </w:r>
      <w:bookmarkEnd w:id="100033"/>
    </w:p>
    <w:p>
      <w:pPr>
        <w:spacing w:after="0" w:line="360"/>
        <w:ind w:firstLine="567"/>
        <w:jc w:val="both"/>
      </w:pPr>
      <w:r>
        <w:t xml:space="preserve">Тематический спутник W1 (ab_water.py) воспроизводит волновой аналог эффекта Ааронова–Бома на поверхностных волнах в ванне с вихрем — задача, экспериментально реализованная на воде (Berry 1980; OIST, Communications Physics 2026). Рассеяние на вихре с циркуляцией α вносит геометрическую фазу: поле выражается через функции Бесселя дробного порядка J_|m−α|, что требует регуляризации ядра вблизи нуля (мы используем ядро с малым смещением порядка). Результирующие вращающиеся узловые картины и фазовый вигвуд W(α) измеряются для пары противоположных циркуляций.</w:t>
      </w:r>
    </w:p>
    <w:p>
      <w:pPr>
        <w:spacing w:after="0" w:line="360"/>
        <w:ind w:firstLine="567"/>
        <w:jc w:val="both"/>
      </w:pPr>
      <w:r>
        <w:t xml:space="preserve">Ключевые наблюдения: вигвуд антисимметричен точно, W(−α) = −W(α) с машинной точностью; аппроксимация даёт W(α) = sign(α)·(1,4 + |α|); зеркальная корреляция интенсивностей пары состояний равна 1,0; знак вращения узловой картины меняется со знаком α. Спутник демонстрирует, что геометрические фазы — общий язык «облачной» серии исследований: тот же класс явлений, что и хиральность маршрута E3, только с фазой вместо траектории.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7.1. Спутник AB. Слева и в центре: вращающиеся узловые картины ψ_total для α = +0,3 и α = −0,3 (момент t = T/8). Справа: фазовый вигвуд W(|α|) для двух знаков циркуляции; точная антисимметрия W(−α) = −W(α).</w:t>
      </w:r>
    </w:p>
    <w:p>
      <w:pPr>
        <w:pStyle w:val="Heading1"/>
        <w:spacing w:after="360" w:before="480" w:line="360"/>
        <w:jc w:val="center"/>
      </w:pPr>
      <w:bookmarkStart w:id="100034" w:name="_Toc100034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8. Кросс-верификация Python ↔ Julia</w:t>
      </w:r>
      <w:bookmarkEnd w:id="100034"/>
    </w:p>
    <w:p>
      <w:pPr>
        <w:pStyle w:val="Heading2"/>
        <w:spacing w:after="240" w:before="360" w:line="360"/>
      </w:pPr>
      <w:bookmarkStart w:id="100035" w:name="_Toc100035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8.1. Лучевое ядро</w:t>
      </w:r>
      <w:bookmarkEnd w:id="100035"/>
    </w:p>
    <w:p>
      <w:pPr>
        <w:spacing w:after="0" w:line="360"/>
        <w:ind w:firstLine="567"/>
        <w:jc w:val="both"/>
      </w:pPr>
      <w:r>
        <w:t xml:space="preserve">Julia-порт (wave_attractors.jl, только стандартная библиотека, Julia ≥ 1.10) повторяет лучевое ядро операция в операцию, включая детерминированные правила углов. Проверка двух уровней: короткая горизонтальная идентичность — 1200 точек отражения по ансамблю лучей, максимальное отклонение 3,45·10⁻¹⁵ (машинный уровень); статистическая эквивалентность длинных траекторий — доли захвата (0,9167 в обоих языках), наборы периодов ({22}) и множества log₁₀|k| совпадают. Детерминизм обязателен: долгие траектории хаотического транзиента расходятся экспоненциально при любом расхождении в округлении, поэтому единственный честный протокол — короткие горизонты плюс статистика.</w:t>
      </w:r>
    </w:p>
    <w:p>
      <w:pPr>
        <w:pStyle w:val="Heading2"/>
        <w:spacing w:after="240" w:before="360" w:line="360"/>
      </w:pPr>
      <w:bookmarkStart w:id="100036" w:name="_Toc100036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8.2. TD-ядро E7</w:t>
      </w:r>
      <w:bookmarkEnd w:id="100036"/>
    </w:p>
    <w:p>
      <w:pPr>
        <w:spacing w:after="0" w:line="360"/>
        <w:ind w:firstLine="567"/>
        <w:jc w:val="both"/>
      </w:pPr>
      <w:r>
        <w:t xml:space="preserve">Для новых временных экспериментов ядро ADE-FDTD также портировано (td_check.jl) и сверено: 400 шагов на сетке 48×48 от фиксированного гауссова начального условия, дампы поля на шагах 0/100/200/300/400, поточечное сравнение с numpy-репликой. Максимальное относительное отклонение — 2,4·10⁻¹⁵; оба ядра на машинном уровне эквивалентны. Тем самым вся цепочка результатов глав 3–6 дважды независима по реализации.</w:t>
      </w:r>
    </w:p>
    <w:p>
      <w:pPr>
        <w:keepNext/>
        <w:spacing w:before="20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60" w:line="280"/>
        <w:jc w:val="center"/>
      </w:pPr>
      <w:r>
        <w:rPr>
          <w:sz w:val="21"/>
          <w:szCs w:val="21"/>
        </w:rPr>
        <w:t xml:space="preserve">Рис. 8.1. Кросс-верификация лучевого ядра: максимальные отклонения точек отражения Python ↔ Julia по лучам (кружки) на фоне допуска 10⁻⁸ и уровня частотной инвариантности K = 1 ↔ K = 7.</w:t>
      </w:r>
    </w:p>
    <w:p>
      <w:pPr>
        <w:keepNext/>
        <w:spacing w:after="80" w:before="240" w:line="280"/>
        <w:jc w:val="center"/>
      </w:pPr>
      <w:r>
        <w:rPr>
          <w:sz w:val="21"/>
          <w:szCs w:val="21"/>
        </w:rPr>
        <w:t xml:space="preserve">Таблица 8.1. Сводка кросс-верификации.</w:t>
      </w:r>
    </w:p>
    <w:tbl>
      <w:tblPr>
        <w:tblW w:type="pct" w:w="100%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Проверка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Отклонение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Протокол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Лучевое ядро, короткие траектории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3,45·10⁻¹⁵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1200 точек отражения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Лучевые статистики длинных траекторий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идентичны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захват 0,9167; периоды {22}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TD-ядро E7 (Drude ADE-FDTD)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2,4·10⁻¹⁵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400 шагов, сетка 48×48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Частотная инвариантность лучевой карты</w:t>
            </w:r>
          </w:p>
        </w:tc>
        <w:tc>
          <w:tcPr>
            <w:tcW w:type="pct" w:w="2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0,0 (точно)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0"/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K = 1 против K = 7, 1201 отражение</w:t>
            </w:r>
          </w:p>
        </w:tc>
      </w:tr>
    </w:tbl>
    <w:p>
      <w:pPr>
        <w:pStyle w:val="Heading1"/>
        <w:spacing w:after="360" w:before="480" w:line="360"/>
        <w:jc w:val="center"/>
      </w:pPr>
      <w:bookmarkStart w:id="100037" w:name="_Toc100037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9. Воспроизводимость</w:t>
      </w:r>
      <w:bookmarkEnd w:id="100037"/>
    </w:p>
    <w:p>
      <w:pPr>
        <w:pStyle w:val="Heading2"/>
        <w:spacing w:after="240" w:before="360" w:line="360"/>
      </w:pPr>
      <w:bookmarkStart w:id="100038" w:name="_Toc100038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9.1. Структура и конвейер</w:t>
      </w:r>
      <w:bookmarkEnd w:id="100038"/>
    </w:p>
    <w:p>
      <w:pPr>
        <w:spacing w:after="0" w:line="360"/>
        <w:ind w:firstLine="567"/>
        <w:jc w:val="both"/>
      </w:pPr>
      <w:r>
        <w:t xml:space="preserve">Модуль study живёт в каталоге wave_attractors/ репозитория: scripts/ (лучевое ядро, эксперименты E1–E7, волновые модели, спутник AB, порты Julia, верификаторы, генератор рисунков с ключами --lang en|ru), data/ (первичные CSV/JSON/NPZ), figures/ (12 рисунков, 300 dpi), monograph/ru и monograph/en (данная монография в двух языковых редакциях с раздельными наборами рисунков), report/ (отчёт W1), README (английский). Всё генерируемое воспроизводится из исходников одной командой.</w:t>
      </w:r>
    </w:p>
    <w:p>
      <w:pPr>
        <w:spacing w:after="0" w:line="360"/>
        <w:ind w:left="567"/>
        <w:jc w:val="both"/>
      </w:pPr>
      <w:r>
        <w:t xml:space="preserve">make wave-attractors        # полный протокол (E1–E7 + волны + AB + рисунки)</w:t>
      </w:r>
    </w:p>
    <w:p>
      <w:pPr>
        <w:spacing w:after="0" w:line="360"/>
        <w:ind w:left="567"/>
        <w:jc w:val="both"/>
      </w:pPr>
      <w:r>
        <w:t xml:space="preserve">make wave-attractors-quick  # сокращённый протокол CI</w:t>
      </w:r>
    </w:p>
    <w:p>
      <w:pPr>
        <w:spacing w:after="160" w:line="360"/>
        <w:ind w:left="567"/>
        <w:jc w:val="both"/>
      </w:pPr>
      <w:r>
        <w:t xml:space="preserve">make wave-attractors-julia  # Julia-порт + кросс-верификация (лучи и TD)</w:t>
      </w:r>
    </w:p>
    <w:p>
      <w:pPr>
        <w:pStyle w:val="Heading2"/>
        <w:spacing w:after="240" w:before="360" w:line="360"/>
      </w:pPr>
      <w:bookmarkStart w:id="100039" w:name="_Toc100039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9.2. Непрерывная интеграция и артефакты</w:t>
      </w:r>
      <w:bookmarkEnd w:id="100039"/>
    </w:p>
    <w:p>
      <w:pPr>
        <w:spacing w:after="0" w:line="360"/>
        <w:ind w:firstLine="567"/>
        <w:jc w:val="both"/>
      </w:pPr>
      <w:r>
        <w:t xml:space="preserve">Workflow .github/workflows/wave-attractors.yml запускается по изменениям в wave_attractors/</w:t>
      </w:r>
      <w:r>
        <w:rPr>
          <w:i/>
          <w:iCs/>
        </w:rPr>
        <w:t xml:space="preserve"/>
      </w:r>
      <w:r>
        <w:t xml:space="preserve"> и выполняет два задания: python-pipeline (самотесты ядра, сокращённые E1–E7, AB, дамп референсов; артефакт w1-data) и julia-cross-verification (порт + TD-ядро + оба верификатора; артефакт w1-cross-verification с cross_verification.json и td_cross_verification.json). Первичные данные новых экспериментов: E6_eta_scan.csv, E6_summary.json, E6_wave_scan.npz; E7_td_snapshots.npz, E7_route_fraction.csv, E7_kspectra.npz, E7_truncation_scan.csv, E7_summary.json. Каждый файл данных самодостаточен для воспроизведения соответствующего рисунка без перезапуска тяжёлых прогонов.</w:t>
      </w:r>
    </w:p>
    <w:p>
      <w:pPr>
        <w:pStyle w:val="Heading1"/>
        <w:spacing w:after="360" w:before="480" w:line="360"/>
        <w:jc w:val="center"/>
      </w:pPr>
      <w:bookmarkStart w:id="100040" w:name="_Toc100040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10. Обсуждение и выводы</w:t>
      </w:r>
      <w:bookmarkEnd w:id="100040"/>
    </w:p>
    <w:p>
      <w:pPr>
        <w:pStyle w:val="Heading2"/>
        <w:spacing w:after="240" w:before="360" w:line="360"/>
      </w:pPr>
      <w:bookmarkStart w:id="100041" w:name="_Toc100041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10.1. Основные результаты</w:t>
      </w:r>
      <w:bookmarkEnd w:id="100041"/>
    </w:p>
    <w:p>
      <w:pPr>
        <w:spacing w:line="360"/>
        <w:ind w:left="851" w:hanging="284"/>
        <w:jc w:val="both"/>
      </w:pPr>
      <w:r>
        <w:rPr>
          <w:b/>
          <w:bCs/>
        </w:rPr>
        <w:t xml:space="preserve">Аттрактор — эффект материала.</w:t>
      </w:r>
      <w:r>
        <w:t xml:space="preserve"> В одной и той же камере гиперболическая среда захватывает 24 из 24 лучей, изотропная — ни одного (E2); каскад, хиральность и частотная инвариантность воспроизведены (E1, E3, E4).</w:t>
      </w:r>
    </w:p>
    <w:p>
      <w:pPr>
        <w:spacing w:line="360"/>
        <w:ind w:left="851" w:hanging="284"/>
        <w:jc w:val="both"/>
      </w:pPr>
      <w:r>
        <w:rPr>
          <w:b/>
          <w:bCs/>
        </w:rPr>
        <w:t xml:space="preserve">Окно аттрактора универсально.</w:t>
      </w:r>
      <w:r>
        <w:t xml:space="preserve"> Обе границы фазы аттрактора коллапсируют в переменной u = s·√η на два порядка по η: u₁ = 0,176 ± 0,041, u₂ = 0,490 ± 0,084 (E6); наивный резонанс s* = 1/√η завышает окно вдвое.</w:t>
      </w:r>
    </w:p>
    <w:p>
      <w:pPr>
        <w:spacing w:line="360"/>
        <w:ind w:left="851" w:hanging="284"/>
        <w:jc w:val="both"/>
      </w:pPr>
      <w:r>
        <w:rPr>
          <w:b/>
          <w:bCs/>
        </w:rPr>
        <w:t xml:space="preserve">Корректность требует дисперсии.</w:t>
      </w:r>
      <w:r>
        <w:t xml:space="preserve"> Временная задача для недисперсионного неопределённого тензора взрывается (γ ≈ 2/(Δx·√η)); друдовская метасреда μ_y(ω) = 1 − ω_p²/ω² делает её безусловно корректной и несёт физическое обрезание ячейкой ω_p = πc/a (E7c).</w:t>
      </w:r>
    </w:p>
    <w:p>
      <w:pPr>
        <w:spacing w:line="360"/>
        <w:ind w:left="851" w:hanging="284"/>
        <w:jc w:val="both"/>
      </w:pPr>
      <w:r>
        <w:rPr>
          <w:b/>
          <w:bCs/>
        </w:rPr>
        <w:t xml:space="preserve">Точное соответствие моделей.</w:t>
      </w:r>
      <w:r>
        <w:t xml:space="preserve"> При ω₀ = ω_p/√(η+1) TD-среда эквивалентна η_eff = 100 лучевой модели; импульсная накачка демонстрирует воронку захвата (1,43× контроля), каскад на гиперболе IFC и насыщение фронта ниже складки ω_p/c (E7a).</w:t>
      </w:r>
    </w:p>
    <w:p>
      <w:pPr>
        <w:spacing w:line="360"/>
        <w:ind w:left="851" w:hanging="284"/>
        <w:jc w:val="both"/>
      </w:pPr>
      <w:r>
        <w:rPr>
          <w:b/>
          <w:bCs/>
        </w:rPr>
        <w:t xml:space="preserve">Гомогенизационная сходимость.</w:t>
      </w:r>
      <w:r>
        <w:t xml:space="preserve"> Пиковый захват коридора растёт монотонно в десять раз от 32 к 192 ячейкам (E7b) — аттрактор выражается волной лишь при достаточном числе ячеек на маршрут.</w:t>
      </w:r>
    </w:p>
    <w:p>
      <w:pPr>
        <w:spacing w:line="360"/>
        <w:ind w:left="851" w:hanging="284"/>
        <w:jc w:val="both"/>
      </w:pPr>
      <w:r>
        <w:rPr>
          <w:b/>
          <w:bCs/>
        </w:rPr>
        <w:t xml:space="preserve">Двойная воспроизводимость.</w:t>
      </w:r>
      <w:r>
        <w:t xml:space="preserve"> Вся цепочка дважды реализована (Python, Julia) с машинным согласием: 3,45·10⁻¹⁵ по траекториям и 2,4·10⁻¹⁵ по TD-полю.</w:t>
      </w:r>
    </w:p>
    <w:p>
      <w:pPr>
        <w:pStyle w:val="Heading2"/>
        <w:spacing w:after="240" w:before="360" w:line="360"/>
      </w:pPr>
      <w:bookmarkStart w:id="100042" w:name="_Toc100042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10.2. Ограничения</w:t>
      </w:r>
      <w:bookmarkEnd w:id="100042"/>
    </w:p>
    <w:p>
      <w:pPr>
        <w:spacing w:after="0" w:line="360"/>
        <w:ind w:firstLine="567"/>
        <w:jc w:val="both"/>
      </w:pPr>
      <w:r>
        <w:t xml:space="preserve">Лучевая модель описывает геометроакустический предел; дифракционные эффекты на склонах и углах в неё не входят. Друдовская форма — простейшая пассивная реализация отрицательной компоненты: реальная проводочная среда имеет анизотропную пространственную дисперсию и подгоночные логарифмические множители в ω_p(a). Волновые прогоны выполнены на сетках до 384×384 и умеренных добротностях; тонкая структура каскада вблизи складки исследована феноменологически (фронт |k</w:t>
      </w:r>
      <w:r>
        <w:rPr>
          <w:vertAlign w:val="subscript"/>
        </w:rPr>
        <w:t xml:space="preserve">x</w:t>
      </w:r>
      <w:r>
        <w:t xml:space="preserve">|₉₉), а не спектрально точным решением задачи рассеяния. Наконец, метрика захвата чувствитель к выбору ширины коридора (±0,04); относительные сравнения гиперболической среды с контролем от этого выбора не зависят.</w:t>
      </w:r>
    </w:p>
    <w:p>
      <w:pPr>
        <w:pStyle w:val="Heading2"/>
        <w:spacing w:after="240" w:before="360" w:line="360"/>
      </w:pPr>
      <w:bookmarkStart w:id="100043" w:name="_Toc100043"/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10.3. Перспективы</w:t>
      </w:r>
      <w:bookmarkEnd w:id="100043"/>
    </w:p>
    <w:p>
      <w:pPr>
        <w:spacing w:after="0" w:line="360"/>
        <w:ind w:firstLine="567"/>
        <w:jc w:val="both"/>
      </w:pPr>
      <w:r>
        <w:t xml:space="preserve">Естественные продолжения: спектральная верификация загиба гиперболы (сравнение численного IFC дискретной среды с (6.5)–(6.6)); TD-моделирование с полной зонной структурой проводочной решётки вместо эффективной среды; включение дифракционных поправок в лучевой закон; экспериментальный скан η на акустических гиперлинзах-метасредах. Отдельный интерес представляет связь окна аттрактора E6 с классификацией периодических орбит бильярда: у верхней границы u₂ маршруты теряют устойчивость, и коллапс u₂(η) даёт нетривиальный тест для аналитической теории возмущений отражения (2.4)–(2.5).</w:t>
      </w:r>
    </w:p>
    <w:p>
      <w:pPr>
        <w:spacing w:after="0" w:line="360"/>
        <w:ind w:firstLine="567"/>
        <w:jc w:val="both"/>
      </w:pPr>
      <w:r>
        <w:t xml:space="preserve">Итог: гиперболические волновые аттракторы воспроизведены на двух уровнях описания и двух языках реализации, их параметрическая феноменология установлена сканом по анизотропии, а временное моделирование с физически последовательным обрезанием ячейки замыкает численную картину на реальный метаматериал. Пакет полностью воспроизводим и готов к расширению.</w:t>
      </w:r>
    </w:p>
    <w:p>
      <w:pPr>
        <w:pStyle w:val="Heading1"/>
        <w:spacing w:after="360" w:before="480" w:line="360"/>
        <w:jc w:val="center"/>
      </w:pPr>
      <w:bookmarkStart w:id="100044" w:name="_Toc100044"/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Список литературы</w:t>
      </w:r>
      <w:bookmarkEnd w:id="100044"/>
    </w:p>
    <w:p>
      <w:pPr>
        <w:spacing w:line="360"/>
        <w:ind w:left="851" w:hanging="284"/>
        <w:jc w:val="both"/>
      </w:pPr>
      <w:r>
        <w:t xml:space="preserve">[1] Hyperbolic wave attractors // Nature Physics (2026), CUNY Advanced Science Research Center. DOI: 10.1038/s41567-026-03453-7.</w:t>
      </w:r>
    </w:p>
    <w:p>
      <w:pPr>
        <w:spacing w:line="360"/>
        <w:ind w:left="851" w:hanging="284"/>
        <w:jc w:val="both"/>
      </w:pPr>
      <w:r>
        <w:t xml:space="preserve">[2] В кривой камере волны сами выстроились в идеальную структуру // Naked Science, 30.09.2026 (популярное изложение референсного эксперимента).</w:t>
      </w:r>
    </w:p>
    <w:p>
      <w:pPr>
        <w:spacing w:line="360"/>
        <w:ind w:left="851" w:hanging="284"/>
        <w:jc w:val="both"/>
      </w:pPr>
      <w:r>
        <w:t xml:space="preserve">[3] Poddubny A., Iorsh I., Belov P., Kivshar Y. Hyperbolic metamaterials // Nature Photonics. 2013. Vol. 7. P. 948–957.</w:t>
      </w:r>
    </w:p>
    <w:p>
      <w:pPr>
        <w:spacing w:line="360"/>
        <w:ind w:left="851" w:hanging="284"/>
        <w:jc w:val="both"/>
      </w:pPr>
      <w:r>
        <w:t xml:space="preserve">[4] Silveirinha M. G., Engheta N. Design of matched zero-index metamaterials using nonmagnetic inclusions in epsilon-near-zero media // Physical Review B. 2007. Vol. 75. 075119.</w:t>
      </w:r>
    </w:p>
    <w:p>
      <w:pPr>
        <w:spacing w:line="360"/>
        <w:ind w:left="851" w:hanging="284"/>
        <w:jc w:val="both"/>
      </w:pPr>
      <w:r>
        <w:t xml:space="preserve">[5] Berry M. V. Exact Aharonov–Bohm wavefunction obtained by applying Dirac's magnetic phase factor // European Journal of Physics. 1980. Vol. 1. P. 240–244.</w:t>
      </w:r>
    </w:p>
    <w:p>
      <w:pPr>
        <w:spacing w:line="360"/>
        <w:ind w:left="851" w:hanging="284"/>
        <w:jc w:val="both"/>
      </w:pPr>
      <w:r>
        <w:t xml:space="preserve">[6] Aharonov–Bohm effect for water waves: vortex-induced geometric phase // Communications Physics (2026), OIST (эксперимент в гидролотке).</w:t>
      </w:r>
    </w:p>
    <w:p>
      <w:pPr>
        <w:spacing w:line="360"/>
        <w:ind w:left="851" w:hanging="284"/>
        <w:jc w:val="both"/>
      </w:pPr>
      <w:r>
        <w:t xml:space="preserve">[7] Yee K. S. Numerical solution of initial boundary value problems involving Maxwell's equations in isotropic media // IEEE Transactions on Antennas and Propagation. 1966. Vol. 14, № 3. P. 302–307.</w:t>
      </w:r>
    </w:p>
    <w:p>
      <w:pPr>
        <w:spacing w:line="360"/>
        <w:ind w:left="851" w:hanging="284"/>
        <w:jc w:val="both"/>
      </w:pPr>
      <w:r>
        <w:t xml:space="preserve">[8] Taflove A., Hagness S. C. Computational Electrodynamics: The Finite-Difference Time-Domain Method. 3rd ed. Boston: Artech House, 2005.</w:t>
      </w:r>
    </w:p>
    <w:p>
      <w:pPr>
        <w:spacing w:line="360"/>
        <w:ind w:left="851" w:hanging="284"/>
        <w:jc w:val="both"/>
      </w:pPr>
      <w:r>
        <w:t xml:space="preserve">[9] Hofstadter D. R. Energy levels and wave functions of Bloch electrons in rational and irrational magnetic fields // Physical Review B. 1976. Vol. 14. P. 2239–2249.</w:t>
      </w:r>
    </w:p>
    <w:p>
      <w:pPr>
        <w:spacing w:line="360"/>
        <w:ind w:left="851" w:hanging="284"/>
        <w:jc w:val="both"/>
      </w:pPr>
      <w:r>
        <w:t xml:space="preserve">[10] Bezanson J., Edelman A., Karpinski S., Shah V. B. Julia: A fresh approach to numerical computing // SIAM Review. 2017. Vol. 59, № 1. P. 65–98.</w:t>
      </w:r>
    </w:p>
    <w:p>
      <w:pPr>
        <w:spacing w:line="360"/>
        <w:ind w:left="851" w:hanging="284"/>
        <w:jc w:val="both"/>
      </w:pPr>
      <w:r>
        <w:t xml:space="preserve">[11] AB-Cloud Research: исследовательский репозиторий (серия AB-Cloud, study W1). URL: https://github.com/wild8highlander/ab-cloud-research (дата обращения: октябрь 2026).</w:t>
      </w:r>
    </w:p>
    <w:p>
      <w:pPr>
        <w:spacing w:line="360"/>
        <w:ind w:left="851" w:hanging="284"/>
        <w:jc w:val="both"/>
      </w:pPr>
      <w:r>
        <w:t xml:space="preserve">[12] Virtual Region: AB_Cloud Monograph v22 (серия монографий репозитория, RU/EN/ZH) — шаблон оформления настоящего издания.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850" w:footer="70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1"/>
        <w:szCs w:val="21"/>
      </w:rPr>
      <w:t xml:space="preserve">- </w:t>
    </w: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cs="Times New Roman" w:eastAsia="Times New Roman" w:hAnsi="Times New Roman"/>
        <w:sz w:val="21"/>
        <w:szCs w:val="21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1"/>
        <w:szCs w:val="21"/>
      </w:rPr>
      <w:t xml:space="preserve">- </w:t>
    </w:r>
    <w:r>
      <w:rPr>
        <w:rFonts w:ascii="Times New Roman" w:cs="Times New Roman" w:eastAsia="Times New Roma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cs="Times New Roman" w:eastAsia="Times New Roma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jc w:val="center"/>
    </w:pPr>
    <w:r>
      <w:rPr>
        <w:rFonts w:ascii="Times New Roman" w:cs="Times New Roman" w:eastAsia="Times New Roman" w:hAnsi="Times New Roman"/>
        <w:color w:val="333333"/>
        <w:sz w:val="18"/>
        <w:szCs w:val="18"/>
      </w:rPr>
      <w:t xml:space="preserve">Гиперболические волновые аттракторы — исследование W1 (AB-Cloud)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jc w:val="center"/>
    </w:pPr>
    <w:r>
      <w:rPr>
        <w:rFonts w:ascii="Times New Roman" w:cs="Times New Roman" w:eastAsia="Times New Roman" w:hAnsi="Times New Roman"/>
        <w:color w:val="333333"/>
        <w:sz w:val="18"/>
        <w:szCs w:val="18"/>
      </w:rPr>
      <w:t xml:space="preserve">Гиперболические волновые аттракторы — исследование W1 (AB-Cloud)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86f42dda29bd8d7f14e086765a0ec9e94c72495d.png"/><Relationship Id="rId12" Type="http://schemas.openxmlformats.org/officeDocument/2006/relationships/image" Target="media/432d2960edea0acb403ae33424c53513c27a5ed9.png"/><Relationship Id="rId13" Type="http://schemas.openxmlformats.org/officeDocument/2006/relationships/image" Target="media/a1a1d98dfb64fbe86cafb926080c85e2825cb7e0.png"/><Relationship Id="rId14" Type="http://schemas.openxmlformats.org/officeDocument/2006/relationships/image" Target="media/1f01d167252c0acd2e688cfbe0905a293daa8122.png"/><Relationship Id="rId15" Type="http://schemas.openxmlformats.org/officeDocument/2006/relationships/image" Target="media/52783d47b23e58588ebea1555637f9d2c17b4647.png"/><Relationship Id="rId16" Type="http://schemas.openxmlformats.org/officeDocument/2006/relationships/image" Target="media/89cee591cdcff3ac06fef5d852536503db696aa6.png"/><Relationship Id="rId17" Type="http://schemas.openxmlformats.org/officeDocument/2006/relationships/image" Target="media/8321e684de1ef655d6bf89ced57bc11ea6ad4e61.png"/><Relationship Id="rId18" Type="http://schemas.openxmlformats.org/officeDocument/2006/relationships/image" Target="media/7efc1bc61381cab5f3589fce6f8539e41679c4ed.png"/><Relationship Id="rId19" Type="http://schemas.openxmlformats.org/officeDocument/2006/relationships/image" Target="media/015c47f1ef8ba42bdaf060d67212239d64f47762.png"/><Relationship Id="rId20" Type="http://schemas.openxmlformats.org/officeDocument/2006/relationships/image" Target="media/d8291efa88e90872acf41f68092e51e7765f3f0f.png"/><Relationship Id="rId21" Type="http://schemas.openxmlformats.org/officeDocument/2006/relationships/image" Target="media/8bafd9c7740614855a1f5ad1a3056bdd156d20a2.png"/><Relationship Id="rId22" Type="http://schemas.openxmlformats.org/officeDocument/2006/relationships/image" Target="media/64fc1154dd8e5603fba3de88c04721c373beca0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Гиперболические волновые аттракторы: лучевая и волновая модели</dc:title>
  <dc:subject>Исследование W1 репозитория AB-Cloud: гиперболические волновые аттракторы, скан по анизотропии и временное моделирование с обрезанием ячейки</dc:subject>
  <dc:creator>AB-Cloud Research</dc:creator>
  <dc:description>Исследование W1 репозитория AB-Cloud: гиперболические волновые аттракторы, скан по анизотропии и временное моделирование с обрезанием ячейки</dc:description>
  <cp:lastModifiedBy>Un-named</cp:lastModifiedBy>
  <cp:revision>1</cp:revision>
  <dcterms:created xsi:type="dcterms:W3CDTF">2026-10-01T21:13:46.705Z</dcterms:created>
  <dcterms:modified xsi:type="dcterms:W3CDTF">2026-10-01T21:13:46.705Z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