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2E3F49" w:val="clear"/>
            <w:vAlign w:val="top"/>
          </w:tcPr>
          <w:p>
            <w:pPr>
              <w:spacing w:before="4847"/>
            </w:pPr>
          </w:p>
          <w:p>
            <w:pPr>
              <w:pBdr>
                <w:bottom w:val="single" w:color="298BBC" w:sz="6" w:space="8"/>
              </w:pBdr>
              <w:spacing w:after="500"/>
              <w:ind w:left="1100" w:right="900"/>
            </w:pPr>
            <w:r>
              <w:rPr>
                <w:rFonts w:ascii="Arial" w:eastAsia="Arial" w:hAnsi="Arial"/>
                <w:color w:val="298BBC"/>
                <w:spacing w:val="40"/>
                <w:sz w:val="19"/>
                <w:szCs w:val="19"/>
              </w:rPr>
              <w:t xml:space="preserve">HILBERT POLYA BRIDGE · MONOGRAPH SERIES</w:t>
            </w:r>
          </w:p>
          <w:p>
            <w:pPr>
              <w:spacing w:after="300" w:line="782" w:lineRule="atLeast"/>
              <w:ind w:left="1100" w:right="400"/>
            </w:pPr>
            <w:r>
              <w:rPr>
                <w:rFonts w:ascii="Arial" w:eastAsia="Arial" w:hAnsi="Arial"/>
                <w:b/>
                <w:bCs/>
                <w:color w:val="F0F4F5"/>
                <w:sz w:val="68"/>
                <w:szCs w:val="68"/>
              </w:rPr>
              <w:t xml:space="preserve">Theorems of the Project</w:t>
            </w:r>
          </w:p>
          <w:p>
            <w:pPr>
              <w:spacing w:after="700" w:line="340" w:lineRule="atLeast"/>
              <w:ind w:left="1100" w:right="600"/>
            </w:pPr>
            <w:r>
              <w:rPr>
                <w:rFonts w:ascii="Arial" w:eastAsia="Arial" w:hAnsi="Arial"/>
                <w:color w:val="B7C6CC"/>
                <w:sz w:val="25"/>
                <w:szCs w:val="25"/>
              </w:rPr>
              <w:t xml:space="preserve">T1–T10: statements, lemmas, proofs and honest labels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Ishak Khamzatovich Isaev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Independent researcher, Nalchik, Kabardino-Balkarian Republic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Hilbert Polya Bridge · monograph series C1–C8 · volume Theorems</w:t>
            </w:r>
          </w:p>
          <w:p>
            <w:pPr>
              <w:spacing w:before="4847"/>
            </w:pPr>
          </w:p>
          <w:p>
            <w:pPr>
              <w:pBdr>
                <w:top w:val="single" w:color="298BBC" w:sz="2" w:space="8"/>
              </w:pBdr>
              <w:spacing w:before="200"/>
              <w:ind w:left="1100" w:right="900"/>
            </w:pP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v1.0.0</w:t>
            </w:r>
            <w:r>
              <w:t xml:space="preserve">                                        </w:t>
            </w: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October 10, 2026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Arial" w:eastAsia="Arial" w:hAnsi="Arial"/>
          <w:b/>
          <w:bCs/>
          <w:color w:val="3B4F58"/>
          <w:sz w:val="32"/>
          <w:szCs w:val="32"/>
        </w:rPr>
        <w:t xml:space="preserve">Contents</w:t>
      </w:r>
    </w:p>
    <w:sdt>
      <w:sdtPr>
        <w:alias w:val="TOC"/>
      </w:sdtPr>
      <w:sdtContent>
        <w:p>
          <w:r>
            <w:fldChar w:fldCharType="begin" w:dirty="true"/>
          </w:r>
          <w:r>
            <w:instrText xml:space="preserve">TOC \h \o "1-1"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About this volume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T1–T3: the frame and the counting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T4–T6: arithmetic and the trace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T7–T10: spectrum and symmetry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Summary table and consequences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eastAsia="Times New Roman" w:hAnsi="Times New Roman"/>
          <w:i/>
          <w:iCs/>
          <w:color w:val="888888"/>
          <w:sz w:val="17"/>
          <w:szCs w:val="17"/>
        </w:rPr>
        <w:t xml:space="preserve">Note: this table of contents is built on Word field codes. After editing, right-click it and choose "Update Field".</w:t>
      </w:r>
    </w:p>
    <w:p>
      <w:r>
        <w:br w:type="page"/>
      </w:r>
    </w:p>
    <w:p>
      <w:pPr>
        <w:sectPr>
          <w:footerReference w:type="default" r:id="rId7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spacing w:after="60" w:before="120"/>
      </w:pPr>
      <w:r>
        <w:rPr>
          <w:rFonts w:ascii="Arial" w:eastAsia="Arial" w:hAnsi="Arial"/>
          <w:b/>
          <w:bCs/>
          <w:color w:val="3B4F58"/>
          <w:sz w:val="40"/>
          <w:szCs w:val="40"/>
        </w:rPr>
        <w:t xml:space="preserve">Theorems of the Project</w:t>
      </w:r>
    </w:p>
    <w:p>
      <w:pPr>
        <w:spacing w:after="200"/>
      </w:pPr>
      <w:r>
        <w:rPr>
          <w:rFonts w:ascii="Times New Roman" w:eastAsia="Times New Roman" w:hAnsi="Times New Roman"/>
          <w:color w:val="777E81"/>
          <w:sz w:val="19"/>
          <w:szCs w:val="19"/>
        </w:rPr>
        <w:t xml:space="preserve">Ishak Khamzatovich Isaev · Independent researcher, Nalchik, Kabardino-Balkarian Republic · Hilbert Polya Bridge · monograph series C1–C8 · Theorems</w:t>
      </w:r>
    </w:p>
    <w:p>
      <w:pPr>
        <w:pStyle w:val="Heading1"/>
        <w:spacing w:after="140" w:before="320"/>
      </w:pPr>
      <w:bookmarkStart w:id="100000" w:name="_Toc100000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About this volume</w:t>
      </w:r>
      <w:bookmarkEnd w:id="100000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This volume collects the ten statements on which the whole series rests. Each carries a status label: proven — a complete proof plus a machine verification exists; measured — a statement about a finite computational experiment with controls; conjecture — a working hypothesis of the series. We deliberately do not inflate the status: the difference between a proof and a measurement is part of the method.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The numbering T1–T10 is shared by the READMEs, the monographs C1–C8, the Hilbert–Pólya scorecard and the Independent Verification Protocol. The proofs are given in a volume sufficient for checking without external sources; every constant is derived inside the series.</w:t>
      </w:r>
    </w:p>
    <w:p>
      <w:pPr>
        <w:pStyle w:val="Heading1"/>
        <w:spacing w:after="140" w:before="320"/>
      </w:pPr>
      <w:bookmarkStart w:id="100001" w:name="_Toc100001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T1–T3: the frame and the counting</w:t>
      </w:r>
      <w:bookmarkEnd w:id="100001"/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T1 (Γ-closures) — proven.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|Γ(½+iu)|² = π/cosh πu; |Γ(iu)|² = π/(u·sinh πu); |Γ(¼+iu)|·|Γ(¾+iu)| = π√2/√cosh 2πu; the single modulus on the line admits no elementary closure (K1, refuted).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Proof. Euler reflection, Legendre duplication; the counterexample to the candidate form is 0.765 at u = 1. Verification at dps = 40: 1.3–2.6e-39.</w:t>
      </w:r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T2 (reality of Z_id) — proven.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Im Z_id(t) = 0 on the critical line; parity holds to 9.9e-29.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Proof. ξ(½+it) ∈ ℝ (the symmetry ξ(s) = ξ(1−s)), θ(t) odd. Verification at dps = 30.</w:t>
      </w:r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T3 (pole calibration) — proven.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N(T) = Δarg ξ/2π with no additive +1 when the pole s = 1 is bypassed from above; a single leaf condition loses turns (2π aliasing).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Proof. The residue of ξ'/ξ at s = 1 is +1; a clockwise half-passage contributes −π to Δarg. Practical verification: anchors 0/3/10/29/79/649 and the arithmetic bridge 2.6e-26.</w:t>
      </w:r>
    </w:p>
    <w:p>
      <w:pPr>
        <w:pStyle w:val="Heading1"/>
        <w:spacing w:after="140" w:before="320"/>
      </w:pPr>
      <w:bookmarkStart w:id="100002" w:name="_Toc100002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T4–T6: arithmetic and the trace</w:t>
      </w:r>
      <w:bookmarkEnd w:id="100002"/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T4 (co-location) — proven.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(Φ_p, Φ_q) ≡ Φ_pq with Φ_p = ½ln p; max|ΔE| = 1.35e-14.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Proof. Additivity of the logarithm; the lattice realisation preserves the identity at machine level.</w:t>
      </w:r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T5 (resolution kernel) — measured.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The composite-node response δ(d): 0 → 3.2e-3 (d = 0.5) → 1.5e-2 (d = 2) → saturation ~2e-2 at d ≈ 4–6; multiplicativity is localised in 2–3 cells; first-order additivity fails (~1e-2).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Proof. Direct measurement on the grid d ∈ [0, 6]; honesty label: depends on the flow conventions of C6.</w:t>
      </w:r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T6 (trace formula for H_ξ) — proven and verified.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Q(a) = ζ'/ζ(½+a) + 1/(½+a) + 1/(a−½) − ½lnπ + ½ψ(¼+a/2) − B − C₀ with B = ½ln(4π)−1−γ/2 = −C₀; K(x) = Tr e^{−xH_ξ} = (1/π)∫₀^∞ Q(a)sin(ax)da; for a &gt; ½ the ζ-series contributes the weight Λ(n)/√n.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Proof. Hadamard product plus 2a/(a²+γ²) = 2∫e^{−γt}sin(at)dt. Verification: |ΔQ| ≤ 1.7e-12 (M0), |ΔK| ≤ 1.2e-5 (M1).</w:t>
      </w:r>
    </w:p>
    <w:p>
      <w:pPr>
        <w:pStyle w:val="Heading1"/>
        <w:spacing w:after="140" w:before="320"/>
      </w:pPr>
      <w:bookmarkStart w:id="100003" w:name="_Toc100003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T7–T10: spectrum and symmetry</w:t>
      </w:r>
      <w:bookmarkEnd w:id="100003"/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T7 (universality demarcation) — measured.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87 gates (52 protocol + 35 extended) lie in the GUE class (⟨r⟩ = 0.498–0.612) and carry no Λ-weights: r_H7 ≤ 0.226, |r_H7| ≤ 0.043 over the new handles, r_EF inside the null clouds.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Proof. Campaigns C3–C5 with positive controls PC1/PC2 (r = 1.0) and PC0 (r = 0.9998).</w:t>
      </w:r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T8 (64→4 reduction) — proven.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The E2 spin structures collapse to 4 Hamiltonians by the pairs (φx, φy) mod 2π; isospectrality within classes 1.1e-14.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Proof. The phases enter through two sums of three 1-forms mod 2π → 2×2 = 4 classes; verified against the E1/E2 tables.</w:t>
      </w:r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T9 (zero modes at α = 1/3) — measured.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On frustrated tori L ≡ 0 (mod 4) the clean lattice at α = 1/3 has exact zero modes: 18 at L = 12, 42 at L = 24.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Proof. Direct diagonalisation with fixed multiplicities; a number-theoretic explanation (the Dirac index) is an open question of the series.</w:t>
      </w:r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T10 (statistics ladder) — measured.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Poisson/GOE/GUE are governed by symmetry (frustration / real disorder / complex vortices); GSE is structurally unreachable (T² = +1).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Proof. An 11-channel ladder, classification by ⟨r⟩ + KS; the GSE limit is architectural.</w:t>
      </w:r>
    </w:p>
    <w:p>
      <w:pPr>
        <w:pStyle w:val="Heading1"/>
        <w:spacing w:after="140" w:before="320"/>
      </w:pPr>
      <w:bookmarkStart w:id="100004" w:name="_Toc100004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Summary table and consequences</w:t>
      </w:r>
      <w:bookmarkEnd w:id="100004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Of the ten statements, four are fully proven (T1, T2, T4, T6), one is proven and verified to a numerical floor (T6), four are measured with controls (T5, T7, T9, T10), and one is proven at the level of phase structure (T8). None carries a status higher than its content — and it is exactly this discipline that lets the series speak of the H2 gap of 9–10 orders as a measured fact rather than an estimate.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The main consequences for the Hilbert–Pólya programme are collected in the scorecard: the resonator is built and tuned (H1+H3+H4), the zeros are encoded rather than generated (H2+H5), and the prime weight is verified only for the zero operator (T6). A hypothetical HP-operator, if it exists, is not a local deformation of the lattice family — the single bridge between all ten theorems and the three projections of the gap.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Table 1. Statuses of the theorems</w:t>
      </w:r>
    </w:p>
    <w:tbl>
      <w:tblPr>
        <w:tblW w:type="pct" w:w="100%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0%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T</w:t>
            </w:r>
          </w:p>
        </w:tc>
        <w:tc>
          <w:tcPr>
            <w:tcW w:type="pct" w:w="62%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Content (brief)</w:t>
            </w:r>
          </w:p>
        </w:tc>
        <w:tc>
          <w:tcPr>
            <w:tcW w:type="pct" w:w="28%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pct" w:w="10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T1</w:t>
            </w:r>
          </w:p>
        </w:tc>
        <w:tc>
          <w:tcPr>
            <w:tcW w:type="pct" w:w="62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Γ-closures: 3 forms + a refutation</w:t>
            </w:r>
          </w:p>
        </w:tc>
        <w:tc>
          <w:tcPr>
            <w:tcW w:type="pct" w:w="28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proven</w:t>
            </w:r>
          </w:p>
        </w:tc>
      </w:tr>
      <w:tr>
        <w:trPr>
          <w:cantSplit/>
        </w:trPr>
        <w:tc>
          <w:tcPr>
            <w:tcW w:type="pct" w:w="10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T2</w:t>
            </w:r>
          </w:p>
        </w:tc>
        <w:tc>
          <w:tcPr>
            <w:tcW w:type="pct" w:w="62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Im Z_id = 0</w:t>
            </w:r>
          </w:p>
        </w:tc>
        <w:tc>
          <w:tcPr>
            <w:tcW w:type="pct" w:w="28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proven</w:t>
            </w:r>
          </w:p>
        </w:tc>
      </w:tr>
      <w:tr>
        <w:trPr>
          <w:cantSplit/>
        </w:trPr>
        <w:tc>
          <w:tcPr>
            <w:tcW w:type="pct" w:w="10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T3</w:t>
            </w:r>
          </w:p>
        </w:tc>
        <w:tc>
          <w:tcPr>
            <w:tcW w:type="pct" w:w="62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pole calibration of the argument principle</w:t>
            </w:r>
          </w:p>
        </w:tc>
        <w:tc>
          <w:tcPr>
            <w:tcW w:type="pct" w:w="28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proven</w:t>
            </w:r>
          </w:p>
        </w:tc>
      </w:tr>
      <w:tr>
        <w:trPr>
          <w:cantSplit/>
        </w:trPr>
        <w:tc>
          <w:tcPr>
            <w:tcW w:type="pct" w:w="10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T4</w:t>
            </w:r>
          </w:p>
        </w:tc>
        <w:tc>
          <w:tcPr>
            <w:tcW w:type="pct" w:w="62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co-location (Φ_p,Φ_q) ≡ Φ_pq</w:t>
            </w:r>
          </w:p>
        </w:tc>
        <w:tc>
          <w:tcPr>
            <w:tcW w:type="pct" w:w="28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proven</w:t>
            </w:r>
          </w:p>
        </w:tc>
      </w:tr>
      <w:tr>
        <w:trPr>
          <w:cantSplit/>
        </w:trPr>
        <w:tc>
          <w:tcPr>
            <w:tcW w:type="pct" w:w="10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T5</w:t>
            </w:r>
          </w:p>
        </w:tc>
        <w:tc>
          <w:tcPr>
            <w:tcW w:type="pct" w:w="62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resolution kernel δ(d), ξ_mult ≈ 2–3</w:t>
            </w:r>
          </w:p>
        </w:tc>
        <w:tc>
          <w:tcPr>
            <w:tcW w:type="pct" w:w="28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measured</w:t>
            </w:r>
          </w:p>
        </w:tc>
      </w:tr>
      <w:tr>
        <w:trPr>
          <w:cantSplit/>
        </w:trPr>
        <w:tc>
          <w:tcPr>
            <w:tcW w:type="pct" w:w="10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T6</w:t>
            </w:r>
          </w:p>
        </w:tc>
        <w:tc>
          <w:tcPr>
            <w:tcW w:type="pct" w:w="62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trace formula Tr e^{−xH_ξ}</w:t>
            </w:r>
          </w:p>
        </w:tc>
        <w:tc>
          <w:tcPr>
            <w:tcW w:type="pct" w:w="28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proven+verified</w:t>
            </w:r>
          </w:p>
        </w:tc>
      </w:tr>
      <w:tr>
        <w:trPr>
          <w:cantSplit/>
        </w:trPr>
        <w:tc>
          <w:tcPr>
            <w:tcW w:type="pct" w:w="10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T7</w:t>
            </w:r>
          </w:p>
        </w:tc>
        <w:tc>
          <w:tcPr>
            <w:tcW w:type="pct" w:w="62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universality demarcation (87 gates)</w:t>
            </w:r>
          </w:p>
        </w:tc>
        <w:tc>
          <w:tcPr>
            <w:tcW w:type="pct" w:w="28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measured</w:t>
            </w:r>
          </w:p>
        </w:tc>
      </w:tr>
      <w:tr>
        <w:trPr>
          <w:cantSplit/>
        </w:trPr>
        <w:tc>
          <w:tcPr>
            <w:tcW w:type="pct" w:w="10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T8</w:t>
            </w:r>
          </w:p>
        </w:tc>
        <w:tc>
          <w:tcPr>
            <w:tcW w:type="pct" w:w="62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64→4 reduction</w:t>
            </w:r>
          </w:p>
        </w:tc>
        <w:tc>
          <w:tcPr>
            <w:tcW w:type="pct" w:w="28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proven</w:t>
            </w:r>
          </w:p>
        </w:tc>
      </w:tr>
      <w:tr>
        <w:trPr>
          <w:cantSplit/>
        </w:trPr>
        <w:tc>
          <w:tcPr>
            <w:tcW w:type="pct" w:w="10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T9</w:t>
            </w:r>
          </w:p>
        </w:tc>
        <w:tc>
          <w:tcPr>
            <w:tcW w:type="pct" w:w="62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zero modes at α = 1/3</w:t>
            </w:r>
          </w:p>
        </w:tc>
        <w:tc>
          <w:tcPr>
            <w:tcW w:type="pct" w:w="28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measured</w:t>
            </w:r>
          </w:p>
        </w:tc>
      </w:tr>
      <w:tr>
        <w:trPr>
          <w:cantSplit/>
        </w:trPr>
        <w:tc>
          <w:tcPr>
            <w:tcW w:type="pct" w:w="10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T10</w:t>
            </w:r>
          </w:p>
        </w:tc>
        <w:tc>
          <w:tcPr>
            <w:tcW w:type="pct" w:w="62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Poisson/GOE/GUE ladder</w:t>
            </w:r>
          </w:p>
        </w:tc>
        <w:tc>
          <w:tcPr>
            <w:tcW w:type="pct" w:w="28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measured</w:t>
            </w:r>
          </w:p>
        </w:tc>
      </w:tr>
    </w:tbl>
    <w:p>
      <w:pPr>
        <w:spacing w:after="120"/>
      </w:pPr>
    </w:p>
    <w:sectPr>
      <w:footerReference w:type="default" r:id="rId8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/>
        <w:color w:val="222526"/>
        <w:sz w:val="21"/>
        <w:szCs w:val="21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Arial" w:eastAsia="Arial" w:hAnsi="Arial"/>
      <w:b/>
      <w:bCs/>
      <w:color w:val="3B4F58"/>
      <w:sz w:val="30"/>
      <w:szCs w:val="30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Theorems of the Project</dc:title>
  <dc:creator>Ishak Khamzatovich Isaev</dc:creator>
  <dc:description>T1–T10: statements, lemmas, proofs and honest labels</dc:description>
  <cp:lastModifiedBy>Un-named</cp:lastModifiedBy>
  <cp:revision>1</cp:revision>
  <dcterms:created xsi:type="dcterms:W3CDTF">2026-10-09T20:25:39.446Z</dcterms:created>
  <dcterms:modified xsi:type="dcterms:W3CDTF">2026-10-09T20:25:39.446Z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