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0.4157 (отклонение -89.6%), Σ²(10.0) = 0.0637 при GUE 0.5793 (отклонение -89.0%). Спектральная жёсткость: Δ₃(2.0) = 0.0015 при GUE 0.0941 (отклонение -98.4%), Δ₃(10.0) = 0.0028 при GUE 0.1757 (отклонение -98.4%).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(1/π²)·ln(2πL) + const. With 100 zeta zeros, the computed values track the corrected GUE curve within ±30%: below it at L ≤ 5 (0.79–0.96 of theory — finite-sample suppression) and above it at L ≥ 7 (1.13–1.29 — endpoint saturation of a 100-zero list).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0.3442</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0.4157</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0.4571</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0.5090</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0.5431</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0.5793</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(1/2π²)·(ln(2πL) + γ − 5/4) for large L. The v9 fixed computation (using counting function regression on the unfolded eigenvalue grid) yields values 15–41%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0.1147</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0.1406</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0.1576</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0.1757</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0.3863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