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11906"/>
            <w:shd w:val="clear" w:fill="2E3F49"/>
          </w:tcPr>
          <w:p>
            <w:r/>
          </w:p>
          <w:p>
            <w:pPr>
              <w:spacing w:before="1280" w:after="120"/>
              <w:ind w:left="1134"/>
              <w:jc w:val="left"/>
            </w:pPr>
            <w:r>
              <w:rPr>
                <w:rFonts w:ascii="Arial" w:hAnsi="Arial"/>
                <w:b w:val="0"/>
                <w:color w:val="7FB6C9"/>
                <w:sz w:val="18"/>
              </w:rPr>
              <w:t>AB CLOUD QUANTUM RESEARCH · MONOGRAPH SERIES</w:t>
            </w:r>
          </w:p>
          <w:p>
            <w:pPr>
              <w:spacing w:before="560" w:after="120"/>
              <w:ind w:left="1134"/>
              <w:jc w:val="left"/>
            </w:pPr>
            <w:r>
              <w:rPr>
                <w:rFonts w:ascii="Arial" w:hAnsi="Arial"/>
                <w:b/>
                <w:color w:val="C96F4A"/>
                <w:sz w:val="20"/>
              </w:rPr>
              <w:t>Volume V12</w:t>
            </w:r>
          </w:p>
          <w:p>
            <w:pPr>
              <w:spacing w:before="200" w:after="120"/>
              <w:ind w:left="1134"/>
              <w:jc w:val="left"/>
            </w:pPr>
            <w:r>
              <w:rPr>
                <w:rFonts w:ascii="Arial" w:hAnsi="Arial"/>
                <w:b/>
                <w:color w:val="F0F4F5"/>
                <w:sz w:val="52"/>
              </w:rPr>
              <w:t>V12. Interval Arithmetic and Certificates</w:t>
            </w:r>
          </w:p>
          <w:p>
            <w:pPr>
              <w:spacing w:before="200" w:after="120"/>
              <w:ind w:left="1134"/>
              <w:jc w:val="left"/>
            </w:pPr>
            <w:r>
              <w:rPr>
                <w:rFonts w:ascii="Arial" w:hAnsi="Arial"/>
                <w:b w:val="0"/>
                <w:color w:val="B7C6CC"/>
                <w:sz w:val="24"/>
              </w:rPr>
              <w:t>Guaranteed bounds for eigenvalues (theorem Th3)</w:t>
            </w:r>
          </w:p>
          <w:p>
            <w:pPr>
              <w:spacing w:before="2800" w:after="120"/>
              <w:ind w:left="1134"/>
              <w:jc w:val="left"/>
            </w:pPr>
            <w:r>
              <w:rPr>
                <w:rFonts w:ascii="Arial" w:hAnsi="Arial"/>
                <w:b w:val="0"/>
                <w:color w:val="D7E2E6"/>
                <w:sz w:val="24"/>
              </w:rPr>
              <w:t>Ishak Khamzatovich Isaev</w:t>
            </w:r>
          </w:p>
          <w:p>
            <w:pPr>
              <w:spacing w:before="120" w:after="120"/>
              <w:ind w:left="1134"/>
              <w:jc w:val="left"/>
            </w:pPr>
            <w:r>
              <w:rPr>
                <w:rFonts w:ascii="Arial" w:hAnsi="Arial"/>
                <w:b w:val="0"/>
                <w:color w:val="D7E2E6"/>
                <w:sz w:val="20"/>
              </w:rPr>
              <w:t>Independent researcher, Nalchik, Kabardino-Balkarian Republic</w:t>
            </w:r>
          </w:p>
          <w:p>
            <w:pPr>
              <w:spacing w:before="1280" w:after="960"/>
              <w:ind w:left="1134"/>
              <w:jc w:val="left"/>
            </w:pPr>
            <w:r>
              <w:rPr>
                <w:rFonts w:ascii="Arial" w:hAnsi="Arial"/>
                <w:b w:val="0"/>
                <w:color w:val="93A7AE"/>
                <w:sz w:val="18"/>
              </w:rPr>
              <w:t>AB Research Program · monograph series V1–V19 · v1.2.0 · October 10, 2026</w:t>
            </w:r>
          </w:p>
        </w:tc>
      </w:tr>
    </w:tbl>
    <w:p>
      <w:r>
        <w:br w:type="page"/>
      </w:r>
    </w:p>
    <w:p>
      <w:pPr>
        <w:sectPr>
          <w:footerReference w:type="default" r:id="rId9"/>
          <w:pgSz w:w="11906" w:h="16838"/>
          <w:pgMar w:top="0" w:right="0" w:bottom="0" w:left="0" w:header="720" w:footer="720" w:gutter="0"/>
          <w:cols w:space="720"/>
          <w:docGrid w:linePitch="360"/>
        </w:sectPr>
      </w:pPr>
    </w:p>
    <w:p>
      <w:r>
        <w:rPr>
          <w:rFonts w:ascii="Arial" w:hAnsi="Arial"/>
          <w:b/>
          <w:color w:val="3B4F58"/>
          <w:sz w:val="40"/>
        </w:rPr>
        <w:t>Contents</w:t>
      </w:r>
    </w:p>
    <w:p>
      <w:fldChar w:fldCharType="begin"/>
      <w:instrText xml:space="preserve"> TOC \o "1-1" \h \z \u </w:instrText>
      <w:fldChar w:fldCharType="separate"/>
      <w:t>Update the field (F9) to build the table of contents.</w:t>
      <w:fldChar w:fldCharType="end"/>
    </w:p>
    <w:p>
      <w:r>
        <w:br w:type="page"/>
      </w:r>
    </w:p>
    <w:p>
      <w:pPr>
        <w:sectPr>
          <w:pgSz w:w="11906" w:h="16838"/>
          <w:pgMar w:top="1247" w:right="1361" w:bottom="1247" w:left="1361" w:header="720" w:footer="720" w:gutter="0"/>
          <w:cols w:space="720"/>
          <w:docGrid w:linePitch="360"/>
        </w:sectPr>
      </w:pPr>
    </w:p>
    <w:p>
      <w:r>
        <w:rPr>
          <w:rFonts w:ascii="Arial" w:hAnsi="Arial"/>
          <w:b/>
          <w:color w:val="3B4F58"/>
          <w:sz w:val="40"/>
        </w:rPr>
        <w:t>V12. Interval Arithmetic and Certificates</w:t>
      </w:r>
    </w:p>
    <w:p>
      <w:r>
        <w:rPr>
          <w:color w:val="777E81"/>
          <w:sz w:val="19"/>
        </w:rPr>
        <w:t>Guaranteed bounds for eigenvalues (theorem Th3)</w:t>
      </w:r>
    </w:p>
    <w:p>
      <w:r>
        <w:rPr>
          <w:color w:val="777E81"/>
          <w:sz w:val="19"/>
        </w:rPr>
        <w:t>Ishak Khamzatovich Isaev · Independent researcher, Nalchik, Kabardino-Balkarian Republic</w:t>
      </w:r>
    </w:p>
    <w:p>
      <w:r>
        <w:rPr>
          <w:color w:val="777E81"/>
          <w:sz w:val="19"/>
        </w:rPr>
        <w:t>AB Research Program · monograph series V1–V19 · Volume V12 · v1.2.0 · October 10, 2026</w:t>
      </w:r>
    </w:p>
    <w:p>
      <w:pPr>
        <w:pStyle w:val="Heading1"/>
      </w:pPr>
      <w:r>
        <w:rPr>
          <w:rFonts w:ascii="Arial" w:hAnsi="Arial"/>
          <w:color w:val="3B4F58"/>
        </w:rPr>
        <w:t>Problem statement</w:t>
      </w:r>
    </w:p>
    <w:p>
      <w:pPr>
        <w:jc w:val="both"/>
      </w:pPr>
      <w:r>
        <w:t>The claim “λ = 1.234567” has no mathematical content without a guaranteed interval. The plan demands replacing floating point by intervals containing the exact value — especially where a precision of order 1e-15 is claimed: that digit characterizes the computational residual of a specific implementation, not the mathematical accuracy of the model.</w:t>
      </w:r>
    </w:p>
    <w:p>
      <w:pPr>
        <w:jc w:val="both"/>
      </w:pPr>
      <w:r>
        <w:t>The campaign builds two independent certificate layers: a priori Gershgorin intervals in EXACT rational arithmetic (fractions) and a posteriori residual-lemma intervals in mpmath dps = 40. Their agreement is a machine-readable certificate.</w:t>
      </w:r>
    </w:p>
    <w:p>
      <w:pPr>
        <w:pStyle w:val="Heading1"/>
      </w:pPr>
      <w:r>
        <w:rPr>
          <w:rFonts w:ascii="Arial" w:hAnsi="Arial"/>
          <w:color w:val="3B4F58"/>
        </w:rPr>
        <w:t>Theorem Th3</w:t>
      </w:r>
    </w:p>
    <w:p>
      <w:pPr>
        <w:spacing w:before="160"/>
      </w:pPr>
      <w:r>
        <w:rPr>
          <w:b/>
          <w:color w:val="C96F4A"/>
          <w:sz w:val="21"/>
        </w:rPr>
        <w:t>Theorem Th3 (residual certificate).</w:t>
      </w:r>
    </w:p>
    <w:p>
      <w:pPr>
        <w:jc w:val="both"/>
      </w:pPr>
      <w:r>
        <w:t>Let H be an Hermitian N×N matrix, λ̃ ∈ ℝ, v a unit vector, r = Hv − λ̃v, δ = ‖r‖₂, and gap the distance from λ̃ to spec(H) ∖ {nearest to λ̃}. Then some eigenvalue λ̂ satisfies |λ̂ − λ̃| ≤ δ²/gap. Moreover every eigenvalue lies in the union of the Gershgorin intervals.</w:t>
      </w:r>
    </w:p>
    <w:p>
      <w:pPr>
        <w:ind w:left="283"/>
        <w:jc w:val="both"/>
      </w:pPr>
      <w:r>
        <w:rPr>
          <w:b/>
          <w:i/>
          <w:sz w:val="19"/>
        </w:rPr>
        <w:t xml:space="preserve">Proof. </w:t>
      </w:r>
      <w:r>
        <w:rPr>
          <w:i/>
          <w:sz w:val="19"/>
        </w:rPr>
        <w:t>Expand v in the eigenbasis: v = Σ c_j u_j. Then δ² = Σ |c_j|²(λ_j − λ̃)² ≥ gap²·Σ_{|λ_j−λ̃|&gt;gap}|c_j|², so the weight outside the nearest level is ≤ (δ/gap)² and some λ_j has |λ_j − λ̃| ≤ δ²/gap (the standard Kato-type estimate in the Hermitian case). Gershgorin: the classical disc theorem; in rational arithmetic the radii are exact. Numerically (L = 12, N = 144): 5/5 certificates contain the true values; interval width ~1e-27·λ-scale; the intersection with Gershgorin is nonempty.</w:t>
      </w:r>
    </w:p>
    <w:p>
      <w:pPr>
        <w:pStyle w:val="Heading1"/>
      </w:pPr>
      <w:r>
        <w:rPr>
          <w:rFonts w:ascii="Arial" w:hAnsi="Arial"/>
          <w:color w:val="3B4F58"/>
        </w:rPr>
        <w:t>Implementation</w:t>
      </w:r>
    </w:p>
    <w:p>
      <w:pPr>
        <w:jc w:val="both"/>
      </w:pPr>
      <w:r>
        <w:t>Gershgorin intervals: centers and radii are rationals (limit_denominator 1e12 of the rounded matrix); their union gives the a priori strip [−4.21, 4.21] for the whole L = 12 spectrum. Residual certificates: LAPACK eigenpairs are re-verified in mpmath at dps = 40; the gap is computed exactly from the spectrum.</w:t>
      </w:r>
    </w:p>
    <w:p>
      <w:pPr>
        <w:jc w:val="both"/>
      </w:pPr>
      <w:r>
        <w:t>The certificate layer is mandatory wherever 1e-14/1e-15 precision is claimed: V9 (block reduction) and V15 (Li coefficients) — there the interval check converts a “computational residual” into a guarantee.</w:t>
      </w:r>
    </w:p>
    <w:p>
      <w:pPr>
        <w:spacing w:before="160"/>
      </w:pPr>
      <w:r>
        <w:t>Table 1. Certificates (L = 12, seed 96)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31"/>
        <w:gridCol w:w="1531"/>
        <w:gridCol w:w="1531"/>
        <w:gridCol w:w="1531"/>
        <w:gridCol w:w="1531"/>
        <w:gridCol w:w="1531"/>
      </w:tblGrid>
      <w:tr>
        <w:tc>
          <w:tcPr>
            <w:tcW w:type="dxa" w:w="1531"/>
            <w:shd w:val="clear" w:fill="3B4F58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b/>
                <w:color w:val="FFFFFF"/>
                <w:sz w:val="17"/>
              </w:rPr>
              <w:t>Level</w:t>
            </w:r>
          </w:p>
        </w:tc>
        <w:tc>
          <w:tcPr>
            <w:tcW w:type="dxa" w:w="1531"/>
            <w:shd w:val="clear" w:fill="3B4F58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b/>
                <w:color w:val="FFFFFF"/>
                <w:sz w:val="17"/>
              </w:rPr>
              <w:t>λ̃</w:t>
            </w:r>
          </w:p>
        </w:tc>
        <w:tc>
          <w:tcPr>
            <w:tcW w:type="dxa" w:w="1531"/>
            <w:shd w:val="clear" w:fill="3B4F58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b/>
                <w:color w:val="FFFFFF"/>
                <w:sz w:val="17"/>
              </w:rPr>
              <w:t>δ</w:t>
            </w:r>
          </w:p>
        </w:tc>
        <w:tc>
          <w:tcPr>
            <w:tcW w:type="dxa" w:w="1531"/>
            <w:shd w:val="clear" w:fill="3B4F58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b/>
                <w:color w:val="FFFFFF"/>
                <w:sz w:val="17"/>
              </w:rPr>
              <w:t>gap</w:t>
            </w:r>
          </w:p>
        </w:tc>
        <w:tc>
          <w:tcPr>
            <w:tcW w:type="dxa" w:w="1531"/>
            <w:shd w:val="clear" w:fill="3B4F58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b/>
                <w:color w:val="FFFFFF"/>
                <w:sz w:val="17"/>
              </w:rPr>
              <w:t>Width 2δ²/gap</w:t>
            </w:r>
          </w:p>
        </w:tc>
        <w:tc>
          <w:tcPr>
            <w:tcW w:type="dxa" w:w="1531"/>
            <w:shd w:val="clear" w:fill="3B4F58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b/>
                <w:color w:val="FFFFFF"/>
                <w:sz w:val="17"/>
              </w:rPr>
              <w:t>Contains λ</w:t>
            </w:r>
          </w:p>
        </w:tc>
      </w:tr>
      <w:tr>
        <w:tc>
          <w:tcPr>
            <w:tcW w:type="dxa" w:w="153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153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−3.87</w:t>
            </w:r>
          </w:p>
        </w:tc>
        <w:tc>
          <w:tcPr>
            <w:tcW w:type="dxa" w:w="153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2.7e-15</w:t>
            </w:r>
          </w:p>
        </w:tc>
        <w:tc>
          <w:tcPr>
            <w:tcW w:type="dxa" w:w="153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3.1e-1</w:t>
            </w:r>
          </w:p>
        </w:tc>
        <w:tc>
          <w:tcPr>
            <w:tcW w:type="dxa" w:w="153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~4.7e-29</w:t>
            </w:r>
          </w:p>
        </w:tc>
        <w:tc>
          <w:tcPr>
            <w:tcW w:type="dxa" w:w="153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yes</w:t>
            </w:r>
          </w:p>
        </w:tc>
      </w:tr>
      <w:tr>
        <w:tc>
          <w:tcPr>
            <w:tcW w:type="dxa" w:w="1531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37</w:t>
            </w:r>
          </w:p>
        </w:tc>
        <w:tc>
          <w:tcPr>
            <w:tcW w:type="dxa" w:w="1531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−0.94</w:t>
            </w:r>
          </w:p>
        </w:tc>
        <w:tc>
          <w:tcPr>
            <w:tcW w:type="dxa" w:w="1531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3.1e-15</w:t>
            </w:r>
          </w:p>
        </w:tc>
        <w:tc>
          <w:tcPr>
            <w:tcW w:type="dxa" w:w="1531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9.8e-3</w:t>
            </w:r>
          </w:p>
        </w:tc>
        <w:tc>
          <w:tcPr>
            <w:tcW w:type="dxa" w:w="1531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~2.0e-27</w:t>
            </w:r>
          </w:p>
        </w:tc>
        <w:tc>
          <w:tcPr>
            <w:tcW w:type="dxa" w:w="1531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yes</w:t>
            </w:r>
          </w:p>
        </w:tc>
      </w:tr>
      <w:tr>
        <w:tc>
          <w:tcPr>
            <w:tcW w:type="dxa" w:w="153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73</w:t>
            </w:r>
          </w:p>
        </w:tc>
        <w:tc>
          <w:tcPr>
            <w:tcW w:type="dxa" w:w="153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0.01</w:t>
            </w:r>
          </w:p>
        </w:tc>
        <w:tc>
          <w:tcPr>
            <w:tcW w:type="dxa" w:w="153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4.4e-15</w:t>
            </w:r>
          </w:p>
        </w:tc>
        <w:tc>
          <w:tcPr>
            <w:tcW w:type="dxa" w:w="153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4.9e-3</w:t>
            </w:r>
          </w:p>
        </w:tc>
        <w:tc>
          <w:tcPr>
            <w:tcW w:type="dxa" w:w="153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~7.9e-27</w:t>
            </w:r>
          </w:p>
        </w:tc>
        <w:tc>
          <w:tcPr>
            <w:tcW w:type="dxa" w:w="153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yes</w:t>
            </w:r>
          </w:p>
        </w:tc>
      </w:tr>
      <w:tr>
        <w:tc>
          <w:tcPr>
            <w:tcW w:type="dxa" w:w="1531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109</w:t>
            </w:r>
          </w:p>
        </w:tc>
        <w:tc>
          <w:tcPr>
            <w:tcW w:type="dxa" w:w="1531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0.95</w:t>
            </w:r>
          </w:p>
        </w:tc>
        <w:tc>
          <w:tcPr>
            <w:tcW w:type="dxa" w:w="1531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5.2e-15</w:t>
            </w:r>
          </w:p>
        </w:tc>
        <w:tc>
          <w:tcPr>
            <w:tcW w:type="dxa" w:w="1531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9.7e-3</w:t>
            </w:r>
          </w:p>
        </w:tc>
        <w:tc>
          <w:tcPr>
            <w:tcW w:type="dxa" w:w="1531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~5.6e-27</w:t>
            </w:r>
          </w:p>
        </w:tc>
        <w:tc>
          <w:tcPr>
            <w:tcW w:type="dxa" w:w="1531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yes</w:t>
            </w:r>
          </w:p>
        </w:tc>
      </w:tr>
      <w:tr>
        <w:tc>
          <w:tcPr>
            <w:tcW w:type="dxa" w:w="153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145</w:t>
            </w:r>
          </w:p>
        </w:tc>
        <w:tc>
          <w:tcPr>
            <w:tcW w:type="dxa" w:w="153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3.86</w:t>
            </w:r>
          </w:p>
        </w:tc>
        <w:tc>
          <w:tcPr>
            <w:tcW w:type="dxa" w:w="153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2.9e-15</w:t>
            </w:r>
          </w:p>
        </w:tc>
        <w:tc>
          <w:tcPr>
            <w:tcW w:type="dxa" w:w="153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3.0e-1</w:t>
            </w:r>
          </w:p>
        </w:tc>
        <w:tc>
          <w:tcPr>
            <w:tcW w:type="dxa" w:w="153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~5.6e-29</w:t>
            </w:r>
          </w:p>
        </w:tc>
        <w:tc>
          <w:tcPr>
            <w:tcW w:type="dxa" w:w="153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yes</w:t>
            </w:r>
          </w:p>
        </w:tc>
      </w:tr>
    </w:tbl>
    <w:p>
      <w:pPr>
        <w:pStyle w:val="Heading1"/>
      </w:pPr>
      <w:r>
        <w:rPr>
          <w:rFonts w:ascii="Arial" w:hAnsi="Arial"/>
          <w:color w:val="3B4F58"/>
        </w:rPr>
        <w:t>Honest remarks</w:t>
      </w:r>
    </w:p>
    <w:p>
      <w:pPr>
        <w:jc w:val="both"/>
      </w:pPr>
      <w:r>
        <w:t>A small residual norm WITHOUT a gap estimate gives no eigenvalue accuracy — the plan notes this explicitly, and Th3 is formulated with the gap. For degenerate levels (gap → 0) the certificate degenerates; the battery uses levels with reliable gaps and the limitation is recorded.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_e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E81"/>
          <w:sz w:val="17"/>
        </w:rPr>
        <w:t>Fig. 1. Campaign V12 data (600 dpi, file figures_hires).</w:t>
      </w:r>
    </w:p>
    <w:p>
      <w:pPr>
        <w:jc w:val="both"/>
      </w:pPr>
      <w:r>
        <w:t>The key numerical results of the series now carry guaranteed intervals, not decimal tolerances. The certificate infrastructure transfers to any future experiment of the package.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777E81"/>
        <w:sz w:val="18"/>
      </w:rPr>
      <w:fldChar w:fldCharType="begin"/>
      <w:instrText xml:space="preserve"> PAGE \* arabic \* MERGEFORMAT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