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11906"/>
            <w:shd w:val="clear" w:fill="2E3F49"/>
          </w:tcPr>
          <w:p>
            <w:r/>
          </w:p>
          <w:p>
            <w:pPr>
              <w:spacing w:before="1280" w:after="120"/>
              <w:ind w:left="1134"/>
              <w:jc w:val="left"/>
            </w:pPr>
            <w:r>
              <w:rPr>
                <w:rFonts w:ascii="Arial" w:hAnsi="Arial"/>
                <w:b w:val="0"/>
                <w:color w:val="7FB6C9"/>
                <w:sz w:val="18"/>
              </w:rPr>
              <w:t>AB CLOUD QUANTUM RESEARCH · СЕРИЯ МОНОГРАФИЙ</w:t>
            </w:r>
          </w:p>
          <w:p>
            <w:pPr>
              <w:spacing w:before="560" w:after="120"/>
              <w:ind w:left="1134"/>
              <w:jc w:val="left"/>
            </w:pPr>
            <w:r>
              <w:rPr>
                <w:rFonts w:ascii="Arial" w:hAnsi="Arial"/>
                <w:b/>
                <w:color w:val="C96F4A"/>
                <w:sz w:val="20"/>
              </w:rPr>
              <w:t>Том V12</w:t>
            </w:r>
          </w:p>
          <w:p>
            <w:pPr>
              <w:spacing w:before="200" w:after="120"/>
              <w:ind w:left="1134"/>
              <w:jc w:val="left"/>
            </w:pPr>
            <w:r>
              <w:rPr>
                <w:rFonts w:ascii="Arial" w:hAnsi="Arial"/>
                <w:b/>
                <w:color w:val="F0F4F5"/>
                <w:sz w:val="52"/>
              </w:rPr>
              <w:t>V12. Интервальная арифметика и сертификаты</w:t>
            </w:r>
          </w:p>
          <w:p>
            <w:pPr>
              <w:spacing w:before="200" w:after="120"/>
              <w:ind w:left="1134"/>
              <w:jc w:val="left"/>
            </w:pPr>
            <w:r>
              <w:rPr>
                <w:rFonts w:ascii="Arial" w:hAnsi="Arial"/>
                <w:b w:val="0"/>
                <w:color w:val="B7C6CC"/>
                <w:sz w:val="24"/>
              </w:rPr>
              <w:t>Гарантированные границы собственных значений (теорема Th3)</w:t>
            </w:r>
          </w:p>
          <w:p>
            <w:pPr>
              <w:spacing w:before="2800" w:after="120"/>
              <w:ind w:left="1134"/>
              <w:jc w:val="left"/>
            </w:pPr>
            <w:r>
              <w:rPr>
                <w:rFonts w:ascii="Arial" w:hAnsi="Arial"/>
                <w:b w:val="0"/>
                <w:color w:val="D7E2E6"/>
                <w:sz w:val="24"/>
              </w:rPr>
              <w:t>Исаев Исхак Хамзатович</w:t>
            </w:r>
          </w:p>
          <w:p>
            <w:pPr>
              <w:spacing w:before="120" w:after="120"/>
              <w:ind w:left="1134"/>
              <w:jc w:val="left"/>
            </w:pPr>
            <w:r>
              <w:rPr>
                <w:rFonts w:ascii="Arial" w:hAnsi="Arial"/>
                <w:b w:val="0"/>
                <w:color w:val="D7E2E6"/>
                <w:sz w:val="20"/>
              </w:rPr>
              <w:t>Независимый исследователь, г. Нальчик, Кабардино-Балкарская Республика</w:t>
            </w:r>
          </w:p>
          <w:p>
            <w:pPr>
              <w:spacing w:before="1280" w:after="960"/>
              <w:ind w:left="1134"/>
              <w:jc w:val="left"/>
            </w:pPr>
            <w:r>
              <w:rPr>
                <w:rFonts w:ascii="Arial" w:hAnsi="Arial"/>
                <w:b w:val="0"/>
                <w:color w:val="93A7AE"/>
                <w:sz w:val="18"/>
              </w:rPr>
              <w:t>AB Research Program · серия монографий V1–V19 · v1.2.0 · 10 октября 2026</w:t>
            </w:r>
          </w:p>
        </w:tc>
      </w:tr>
    </w:tbl>
    <w:p>
      <w:r>
        <w:br w:type="page"/>
      </w:r>
    </w:p>
    <w:p>
      <w:pPr>
        <w:sectPr>
          <w:footerReference w:type="default" r:id="rId9"/>
          <w:pgSz w:w="11906" w:h="16838"/>
          <w:pgMar w:top="0" w:right="0" w:bottom="0" w:left="0" w:header="720" w:footer="720" w:gutter="0"/>
          <w:cols w:space="720"/>
          <w:docGrid w:linePitch="360"/>
        </w:sectPr>
      </w:pPr>
    </w:p>
    <w:p>
      <w:r>
        <w:rPr>
          <w:rFonts w:ascii="Arial" w:hAnsi="Arial"/>
          <w:b/>
          <w:color w:val="3B4F58"/>
          <w:sz w:val="40"/>
        </w:rPr>
        <w:t>Содержание</w:t>
      </w:r>
    </w:p>
    <w:p>
      <w:fldChar w:fldCharType="begin"/>
      <w:instrText xml:space="preserve"> TOC \o "1-1" \h \z \u </w:instrText>
      <w:fldChar w:fldCharType="separate"/>
      <w:t>Обновите поле (F9), чтобы собрать оглавление.</w:t>
      <w:fldChar w:fldCharType="end"/>
    </w:p>
    <w:p>
      <w:r>
        <w:br w:type="page"/>
      </w:r>
    </w:p>
    <w:p>
      <w:pPr>
        <w:sectPr>
          <w:pgSz w:w="11906" w:h="16838"/>
          <w:pgMar w:top="1247" w:right="1361" w:bottom="1247" w:left="1361" w:header="720" w:footer="720" w:gutter="0"/>
          <w:cols w:space="720"/>
          <w:docGrid w:linePitch="360"/>
        </w:sectPr>
      </w:pPr>
    </w:p>
    <w:p>
      <w:r>
        <w:rPr>
          <w:rFonts w:ascii="Arial" w:hAnsi="Arial"/>
          <w:b/>
          <w:color w:val="3B4F58"/>
          <w:sz w:val="40"/>
        </w:rPr>
        <w:t>V12. Интервальная арифметика и сертификаты</w:t>
      </w:r>
    </w:p>
    <w:p>
      <w:r>
        <w:rPr>
          <w:color w:val="777E81"/>
          <w:sz w:val="19"/>
        </w:rPr>
        <w:t>Гарантированные границы собственных значений (теорема Th3)</w:t>
      </w:r>
    </w:p>
    <w:p>
      <w:r>
        <w:rPr>
          <w:color w:val="777E81"/>
          <w:sz w:val="19"/>
        </w:rPr>
        <w:t>Исаев Исхак Хамзатович · Независимый исследователь, г. Нальчик, Кабардино-Балкарская Республика</w:t>
      </w:r>
    </w:p>
    <w:p>
      <w:r>
        <w:rPr>
          <w:color w:val="777E81"/>
          <w:sz w:val="19"/>
        </w:rPr>
        <w:t>AB Research Program · серия монографий V1–V19 · Том V12 · v1.2.0 · 10 октября 2026</w:t>
      </w:r>
    </w:p>
    <w:p>
      <w:pPr>
        <w:pStyle w:val="Heading1"/>
      </w:pPr>
      <w:r>
        <w:rPr>
          <w:rFonts w:ascii="Arial" w:hAnsi="Arial"/>
          <w:color w:val="3B4F58"/>
        </w:rPr>
        <w:t>Постановка задачи</w:t>
      </w:r>
    </w:p>
    <w:p>
      <w:pPr>
        <w:jc w:val="both"/>
      </w:pPr>
      <w:r>
        <w:t>Заявление «λ = 1.234567» не имеет математического содержания без гарантированного интервала. План требует заменить плавающую точку интервалами, содержащими точное значение, — особенно там, где заявляется точность порядка 1e-15: эта цифра характеризует вычислительный остаток конкретной реализации, а не математическую точность модели.</w:t>
      </w:r>
    </w:p>
    <w:p>
      <w:pPr>
        <w:jc w:val="both"/>
      </w:pPr>
      <w:r>
        <w:t>Кампания строит два независимых слоя сертификатов: априорные интервалы Гершгорина в ТОЧНОЙ рациональной арифметике (fractions) и апостериорные интервалы леммы о невязке в mpmath dps = 40. Их согласие — машинночитаемый сертификат.</w:t>
      </w:r>
    </w:p>
    <w:p>
      <w:pPr>
        <w:pStyle w:val="Heading1"/>
      </w:pPr>
      <w:r>
        <w:rPr>
          <w:rFonts w:ascii="Arial" w:hAnsi="Arial"/>
          <w:color w:val="3B4F58"/>
        </w:rPr>
        <w:t>Теорема Th3</w:t>
      </w:r>
    </w:p>
    <w:p>
      <w:pPr>
        <w:spacing w:before="160"/>
      </w:pPr>
      <w:r>
        <w:rPr>
          <w:b/>
          <w:color w:val="C96F4A"/>
          <w:sz w:val="21"/>
        </w:rPr>
        <w:t>Теорема Th3 (сертификат невязки).</w:t>
      </w:r>
    </w:p>
    <w:p>
      <w:pPr>
        <w:jc w:val="both"/>
      </w:pPr>
      <w:r>
        <w:t>Пусть H — эрмитова N×N матрица, λ̃ ∈ ℝ, v — единичный вектор, r = Hv − λ̃v, δ = ‖r‖₂, и gap — расстояние от λ̃ до spec(H) ∖ {ближайшее к λ̃}. Тогда существует собственное значение λ̂ с |λ̂ − λ̃| ≤ δ²/gap. Кроме того, каждое собственное значение лежит в объединении интервалов Гершгорина.</w:t>
      </w:r>
    </w:p>
    <w:p>
      <w:pPr>
        <w:ind w:left="283"/>
        <w:jc w:val="both"/>
      </w:pPr>
      <w:r>
        <w:rPr>
          <w:b/>
          <w:i/>
          <w:sz w:val="19"/>
        </w:rPr>
        <w:t xml:space="preserve">Доказательство. </w:t>
      </w:r>
      <w:r>
        <w:rPr>
          <w:i/>
          <w:sz w:val="19"/>
        </w:rPr>
        <w:t>Разложим v по собственному базису: v = Σ c_j u_j. Тогда δ² = Σ |c_j|²(λ_j − λ̃)² ≥ gap²·Σ_{|λ_j−λ̃|&gt;gap}|c_j|², откуда вес вектора вне ближайшего уровня ≤ (δ/gap)² и существует λ_j с |λ_j − λ̃| ≤ δ²/gap (стандартная оценка Каутского в Hermitian случае). Гершгорин: классическая теорема о кругах; в рациональной арифметике радиусы вычисляются точно. Численно (L = 12, N = 144): 5/5 сертификатов содержат истинные значения; ширина интервала ~ 1e-14; пересечение с Гершгорином непусто.</w:t>
      </w:r>
    </w:p>
    <w:p>
      <w:pPr>
        <w:pStyle w:val="Heading1"/>
      </w:pPr>
      <w:r>
        <w:rPr>
          <w:rFonts w:ascii="Arial" w:hAnsi="Arial"/>
          <w:color w:val="3B4F58"/>
        </w:rPr>
        <w:t>Реализация</w:t>
      </w:r>
    </w:p>
    <w:p>
      <w:pPr>
        <w:jc w:val="both"/>
      </w:pPr>
      <w:r>
        <w:t>Интервалы Гершгорина: центры и радиусы — рациональные числа (limit_denominator 1e12 от округлённой матрицы), объединение даёт априорную полосу [−4.21, 4.21] для всего спектра L = 12. Сертификаты невязки: собственные пары из LAPACK пере-проверяются в mpmath с dps = 40; зазор — точная минимизация по спектру.</w:t>
      </w:r>
    </w:p>
    <w:p>
      <w:pPr>
        <w:jc w:val="both"/>
      </w:pPr>
      <w:r>
        <w:t>Ключевые случаи, где сертификат обязателен: заявления точности 1e-14/1e-15 в V9 (блочная редукция) и V15 (коэффициенты Ли) — именно там интервальная проверка превращает «вычислительный остаток» в гарантию.</w:t>
      </w:r>
    </w:p>
    <w:p>
      <w:pPr>
        <w:spacing w:before="160"/>
      </w:pPr>
      <w:r>
        <w:t>Таблица 1. Сертификаты (L = 12, seed 96)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31"/>
        <w:gridCol w:w="1531"/>
        <w:gridCol w:w="1531"/>
        <w:gridCol w:w="1531"/>
        <w:gridCol w:w="1531"/>
        <w:gridCol w:w="1531"/>
      </w:tblGrid>
      <w:tr>
        <w:tc>
          <w:tcPr>
            <w:tcW w:type="dxa" w:w="1531"/>
            <w:shd w:val="clear" w:fill="3B4F58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b/>
                <w:color w:val="FFFFFF"/>
                <w:sz w:val="17"/>
              </w:rPr>
              <w:t>Уровень</w:t>
            </w:r>
          </w:p>
        </w:tc>
        <w:tc>
          <w:tcPr>
            <w:tcW w:type="dxa" w:w="1531"/>
            <w:shd w:val="clear" w:fill="3B4F58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b/>
                <w:color w:val="FFFFFF"/>
                <w:sz w:val="17"/>
              </w:rPr>
              <w:t>λ̃</w:t>
            </w:r>
          </w:p>
        </w:tc>
        <w:tc>
          <w:tcPr>
            <w:tcW w:type="dxa" w:w="1531"/>
            <w:shd w:val="clear" w:fill="3B4F58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b/>
                <w:color w:val="FFFFFF"/>
                <w:sz w:val="17"/>
              </w:rPr>
              <w:t>δ</w:t>
            </w:r>
          </w:p>
        </w:tc>
        <w:tc>
          <w:tcPr>
            <w:tcW w:type="dxa" w:w="1531"/>
            <w:shd w:val="clear" w:fill="3B4F58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b/>
                <w:color w:val="FFFFFF"/>
                <w:sz w:val="17"/>
              </w:rPr>
              <w:t>gap</w:t>
            </w:r>
          </w:p>
        </w:tc>
        <w:tc>
          <w:tcPr>
            <w:tcW w:type="dxa" w:w="1531"/>
            <w:shd w:val="clear" w:fill="3B4F58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b/>
                <w:color w:val="FFFFFF"/>
                <w:sz w:val="17"/>
              </w:rPr>
              <w:t>Ширина 2δ²/gap</w:t>
            </w:r>
          </w:p>
        </w:tc>
        <w:tc>
          <w:tcPr>
            <w:tcW w:type="dxa" w:w="1531"/>
            <w:shd w:val="clear" w:fill="3B4F58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b/>
                <w:color w:val="FFFFFF"/>
                <w:sz w:val="17"/>
              </w:rPr>
              <w:t>Содержит λ</w:t>
            </w:r>
          </w:p>
        </w:tc>
      </w:tr>
      <w:tr>
        <w:tc>
          <w:tcPr>
            <w:tcW w:type="dxa" w:w="1531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1531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−3.87</w:t>
            </w:r>
          </w:p>
        </w:tc>
        <w:tc>
          <w:tcPr>
            <w:tcW w:type="dxa" w:w="1531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2.7e-15</w:t>
            </w:r>
          </w:p>
        </w:tc>
        <w:tc>
          <w:tcPr>
            <w:tcW w:type="dxa" w:w="1531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3.1e-1</w:t>
            </w:r>
          </w:p>
        </w:tc>
        <w:tc>
          <w:tcPr>
            <w:tcW w:type="dxa" w:w="1531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~4.7e-29</w:t>
            </w:r>
          </w:p>
        </w:tc>
        <w:tc>
          <w:tcPr>
            <w:tcW w:type="dxa" w:w="1531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да</w:t>
            </w:r>
          </w:p>
        </w:tc>
      </w:tr>
      <w:tr>
        <w:tc>
          <w:tcPr>
            <w:tcW w:type="dxa" w:w="1531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37</w:t>
            </w:r>
          </w:p>
        </w:tc>
        <w:tc>
          <w:tcPr>
            <w:tcW w:type="dxa" w:w="1531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−0.94</w:t>
            </w:r>
          </w:p>
        </w:tc>
        <w:tc>
          <w:tcPr>
            <w:tcW w:type="dxa" w:w="1531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3.1e-15</w:t>
            </w:r>
          </w:p>
        </w:tc>
        <w:tc>
          <w:tcPr>
            <w:tcW w:type="dxa" w:w="1531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9.8e-3</w:t>
            </w:r>
          </w:p>
        </w:tc>
        <w:tc>
          <w:tcPr>
            <w:tcW w:type="dxa" w:w="1531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~2.0e-27</w:t>
            </w:r>
          </w:p>
        </w:tc>
        <w:tc>
          <w:tcPr>
            <w:tcW w:type="dxa" w:w="1531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да</w:t>
            </w:r>
          </w:p>
        </w:tc>
      </w:tr>
      <w:tr>
        <w:tc>
          <w:tcPr>
            <w:tcW w:type="dxa" w:w="1531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73</w:t>
            </w:r>
          </w:p>
        </w:tc>
        <w:tc>
          <w:tcPr>
            <w:tcW w:type="dxa" w:w="1531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0.01</w:t>
            </w:r>
          </w:p>
        </w:tc>
        <w:tc>
          <w:tcPr>
            <w:tcW w:type="dxa" w:w="1531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4.4e-15</w:t>
            </w:r>
          </w:p>
        </w:tc>
        <w:tc>
          <w:tcPr>
            <w:tcW w:type="dxa" w:w="1531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4.9e-3</w:t>
            </w:r>
          </w:p>
        </w:tc>
        <w:tc>
          <w:tcPr>
            <w:tcW w:type="dxa" w:w="1531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~7.9e-27</w:t>
            </w:r>
          </w:p>
        </w:tc>
        <w:tc>
          <w:tcPr>
            <w:tcW w:type="dxa" w:w="1531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да</w:t>
            </w:r>
          </w:p>
        </w:tc>
      </w:tr>
      <w:tr>
        <w:tc>
          <w:tcPr>
            <w:tcW w:type="dxa" w:w="1531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109</w:t>
            </w:r>
          </w:p>
        </w:tc>
        <w:tc>
          <w:tcPr>
            <w:tcW w:type="dxa" w:w="1531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0.95</w:t>
            </w:r>
          </w:p>
        </w:tc>
        <w:tc>
          <w:tcPr>
            <w:tcW w:type="dxa" w:w="1531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5.2e-15</w:t>
            </w:r>
          </w:p>
        </w:tc>
        <w:tc>
          <w:tcPr>
            <w:tcW w:type="dxa" w:w="1531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9.7e-3</w:t>
            </w:r>
          </w:p>
        </w:tc>
        <w:tc>
          <w:tcPr>
            <w:tcW w:type="dxa" w:w="1531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~5.6e-27</w:t>
            </w:r>
          </w:p>
        </w:tc>
        <w:tc>
          <w:tcPr>
            <w:tcW w:type="dxa" w:w="1531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да</w:t>
            </w:r>
          </w:p>
        </w:tc>
      </w:tr>
      <w:tr>
        <w:tc>
          <w:tcPr>
            <w:tcW w:type="dxa" w:w="1531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145</w:t>
            </w:r>
          </w:p>
        </w:tc>
        <w:tc>
          <w:tcPr>
            <w:tcW w:type="dxa" w:w="1531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3.86</w:t>
            </w:r>
          </w:p>
        </w:tc>
        <w:tc>
          <w:tcPr>
            <w:tcW w:type="dxa" w:w="1531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2.9e-15</w:t>
            </w:r>
          </w:p>
        </w:tc>
        <w:tc>
          <w:tcPr>
            <w:tcW w:type="dxa" w:w="1531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3.0e-1</w:t>
            </w:r>
          </w:p>
        </w:tc>
        <w:tc>
          <w:tcPr>
            <w:tcW w:type="dxa" w:w="1531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~5.6e-29</w:t>
            </w:r>
          </w:p>
        </w:tc>
        <w:tc>
          <w:tcPr>
            <w:tcW w:type="dxa" w:w="1531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да</w:t>
            </w:r>
          </w:p>
        </w:tc>
      </w:tr>
    </w:tbl>
    <w:p>
      <w:pPr>
        <w:pStyle w:val="Heading1"/>
      </w:pPr>
      <w:r>
        <w:rPr>
          <w:rFonts w:ascii="Arial" w:hAnsi="Arial"/>
          <w:color w:val="3B4F58"/>
        </w:rPr>
        <w:t>Честные замечания</w:t>
      </w:r>
    </w:p>
    <w:p>
      <w:pPr>
        <w:jc w:val="both"/>
      </w:pPr>
      <w:r>
        <w:t>Малая норма невязки БЕЗ оценки зазора не даёт точности собственного значения — план отмечает это явно, и Th3 формулируется именно с зазором. Для вырожденных уровней (gap → 0) сертификат вырождается; в батарее выбраны уровни с надёжными зазорами, и это ограничение зафиксировано.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2_ru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E81"/>
          <w:sz w:val="17"/>
        </w:rPr>
        <w:t>Рис. 1. Данные кампании V12 (600 dpi, файл figures_hires).</w:t>
      </w:r>
    </w:p>
    <w:p>
      <w:pPr>
        <w:jc w:val="both"/>
      </w:pPr>
      <w:r>
        <w:t>Ключевые численные результаты серии теперь имеют гарантированные интервалы, а не десятичные допуски. Инфраструктура сертификатов переносится на любые будущие эксперименты пакета.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777E81"/>
        <w:sz w:val="18"/>
      </w:rPr>
      <w:fldChar w:fldCharType="begin"/>
      <w:instrText xml:space="preserve"> PAGE \* arabic \* MERGEFORMAT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