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B16" w:val="clear"/>
            <w:vAlign w:val="top"/>
          </w:tcPr>
          <w:p>
            <w:pPr>
              <w:spacing w:before="3799"/>
            </w:pPr>
          </w:p>
          <w:p>
            <w:pPr>
              <w:pBdr>
                <w:bottom w:val="single" w:color="C96F4A" w:sz="6" w:space="8"/>
              </w:pBdr>
              <w:spacing w:after="500"/>
              <w:ind w:left="1200" w:right="800"/>
            </w:pPr>
            <w:r>
              <w:rPr>
                <w:rFonts w:ascii="Calibri" w:hAnsi="Calibri"/>
                <w:color w:val="C96F4A"/>
                <w:sz w:val="18"/>
                <w:szCs w:val="18"/>
              </w:rPr>
              <w:t xml:space="preserve">R  E  S  E  A  R  C  H     P  R  O  G  R  A  M     ·     C  O  R  E</w:t>
            </w:r>
          </w:p>
          <w:p>
            <w:pPr>
              <w:spacing w:after="100" w:line="874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76"/>
                <w:szCs w:val="76"/>
              </w:rPr>
              <w:t xml:space="preserve">Research Program: The</w:t>
            </w:r>
          </w:p>
          <w:p>
            <w:pPr>
              <w:spacing w:after="100" w:line="874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76"/>
                <w:szCs w:val="76"/>
              </w:rPr>
              <w:t xml:space="preserve">Spectral Core (V01–</w:t>
            </w:r>
          </w:p>
          <w:p>
            <w:pPr>
              <w:spacing w:after="300" w:line="874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76"/>
                <w:szCs w:val="76"/>
              </w:rPr>
              <w:t xml:space="preserve">V19, Th1–Th6, V13)</w:t>
            </w:r>
          </w:p>
          <w:p>
            <w:pPr>
              <w:spacing w:after="800"/>
              <w:ind w:left="1200"/>
            </w:pPr>
            <w:r>
              <w:rPr>
                <w:rFonts w:ascii="Times New Roman" w:hAnsi="Times New Roman"/>
                <w:color w:val="B8A99C"/>
                <w:sz w:val="24"/>
                <w:szCs w:val="24"/>
              </w:rPr>
              <w:t xml:space="preserve">Research Program Monograph · Version 1.0.0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Isaev Iskhak Khamzatovich · ORCID 0009-0003-7299-0701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AB Cloud Quantum Research · DOI 10.5281/zenodo.21825394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Style: Critical Line &amp; Copper</w:t>
            </w:r>
          </w:p>
          <w:p>
            <w:pPr>
              <w:spacing w:before="3799"/>
            </w:pPr>
          </w:p>
          <w:p>
            <w:pPr>
              <w:pBdr>
                <w:top w:val="single" w:color="C96F4A" w:sz="2" w:space="8"/>
              </w:pBdr>
              <w:tabs>
                <w:tab w:val="right" w:pos="9026"/>
              </w:tabs>
              <w:spacing w:before="200"/>
              <w:ind w:left="1200" w:right="800"/>
            </w:pP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AB CLOUD QUANTUM RESEARCH · v1.0.0</w:t>
            </w:r>
            <w:r>
              <w:t xml:space="preserve">	</w:t>
            </w: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2026 · PROPRIETARY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Research Program: The Spectral Core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Research Program: The Spectral Core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Program goals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Methodology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Executed campaigns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The next wave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Honest boundaries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 Key campaigns in detail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Six campaigns that defined the core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V01 — the blind spectrum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V02 — null models and GUE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V07 — trace ↔ primes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V12 — Kato certificates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V13 — the obligation machine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V19 — branch stitching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 The full campaign table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 How to reproduce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 Further reading</w:t>
          </w:r>
          <w:r>
            <w:tab/>
          </w:r>
          <w:r>
            <w:t>6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40" w:bottom="1440" w:left="1440" w:header="708" w:footer="708" w:gutter="0"/>
          <w:pgNumType w:start="1" w:fmt="upperRoman"/>
          <w:docGrid w:linePitch="360"/>
        </w:sectPr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Research Program: The Spectral Core</w:t>
      </w:r>
      <w:bookmarkEnd w:id="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The core program owns the mathematical foundation of the AB architecture: the blind spectrum, null models, the critical line, the trace formula, the obligation machine and branch stitching. Nineteen campaigns and six theorems form a closed loop: construction → certificate → formal statement → independent verification.</w:t>
      </w:r>
    </w:p>
    <w:p>
      <w:pPr>
        <w:pStyle w:val="Heading2"/>
        <w:spacing w:after="120" w:before="280" w:line="312"/>
      </w:pPr>
      <w:bookmarkStart w:name="_Toc2" w:id="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 Program goals</w:t>
      </w:r>
      <w:bookmarkEnd w:id="2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construct a Hermitian operator H</w:t>
      </w:r>
      <w:r>
        <w:rPr>
          <w:rFonts w:ascii="Times New Roman" w:hAnsi="Times New Roman"/>
          <w:color w:val="2B2320"/>
          <w:sz w:val="22"/>
          <w:szCs w:val="22"/>
          <w:vertAlign w:val="subscript"/>
        </w:rPr>
        <w:t xml:space="preserve">ξ</w:t>
      </w:r>
      <w:r>
        <w:rPr>
          <w:rFonts w:ascii="Times New Roman" w:hAnsi="Times New Roman"/>
          <w:color w:val="2B2320"/>
          <w:sz w:val="22"/>
          <w:szCs w:val="22"/>
        </w:rPr>
        <w:t xml:space="preserve"> whose heat expansion carries the arithmetic of the primes (Λ(n)/√n);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prove the correctness of the construction: Hermiticity (Th1), self-adjointness (Th2), Kato certificates (Th3), the Li formula (Th4), block reduction (Th5), the Guinand–Weil correspondence (Th6);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separate arithmetic specificity from GUE statistics — including honest negative answers on lattices;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fix the RH status with the obligation machine V13 — and keep it blocked while the hypotheses are unproved.</w:t>
      </w:r>
    </w:p>
    <w:p>
      <w:pPr>
        <w:pStyle w:val="Heading2"/>
        <w:spacing w:after="120" w:before="280" w:line="312"/>
      </w:pPr>
      <w:bookmarkStart w:name="_Toc3" w:id="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 Methodology</w:t>
      </w:r>
      <w:bookmarkEnd w:id="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Every campaign starts with a pre-registration protocol: thresholds are fixed before the run. Blind protocols are applied wherever a reference exists (V01: calibration/test with no leak). All derived artifacts (tiles, documents) are built only from committed verdicts. Formal statements are duplicated in Lean 4, Coq, Agda and Isabelle (reductions A1–A6, no sorry/admit).</w:t>
      </w:r>
    </w:p>
    <w:p>
      <w:pPr>
        <w:pStyle w:val="Heading2"/>
        <w:spacing w:after="120" w:before="280" w:line="312"/>
      </w:pPr>
      <w:bookmarkStart w:name="_Toc4" w:id="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 Executed campaigns</w:t>
      </w:r>
      <w:bookmarkEnd w:id="4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Table 3.1. Core campaigns V01–V19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903"/>
        <w:gridCol w:w="2708"/>
        <w:gridCol w:w="5416"/>
      </w:tblGrid>
      <w:tr>
        <w:trPr>
          <w:cantSplit/>
          <w:tblHeader/>
        </w:trPr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pct" w:w="1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pct" w:w="3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V01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blind spectrum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statistics consistent; individual ordinates not predicted (honest negative)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V02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null models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 cloud in the GUE class; specificity measured by fine structure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V03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lattice σ-scan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no agreement zone with ζ found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V04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Hermiticity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Th1: ‖H − H†‖ = 0.0; symmetry λ ↔ −λ at α = ½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V05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construction certificate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construction boundaries fixed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V06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lattice closure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lattice direction closed (negative)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V07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trace ↔ primes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Th6: r = 0.9996; lattice control 0.76; the B/C₀ erratum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V08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self-adjointness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Th2: defects (0,0); unitarity drift 2.2e−16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V09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block reduction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Th5: block union ≈ spectrum to 7.1e−15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V10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spectral certificates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certificates consistent with Kato estimates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V11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obligation DAG draft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the structure of the path to RH fixed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V12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Kato certificates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Th3: widths ~1e−27 (dps 40)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V13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obligation machine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RH blocked: 5 proven / 3 computed / 4 assumed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V14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claim audit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claim files consistent with verdicts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V15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Li formula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Th4: two paths ≤ 4.4e−11; absolute convergence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V16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lattice re-check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negative confirmed on a new construction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V17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trajectories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reading is idempotent; no degradation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V18</w:t>
            </w:r>
          </w:p>
        </w:tc>
        <w:tc>
          <w:tcPr>
            <w:tcW w:type="pct" w:w="1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pong protocol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latency bounded; no log growth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V19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branch stitching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θ-ladder 0.832; coherence 0.9995; Z₂-monodromy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5" w:id="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 The next wave</w:t>
      </w:r>
      <w:bookmarkEnd w:id="5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stitching refinement: r_align ≤ 0.135 on an extended height grid;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the ζ monodromy as an algebraic object: formalization of V19;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compiling obligations into Lean/Coq: O-lean/O-coq — moving the V13 DAG into the formal layer;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extending the Th3–Th4 certificates to larger sizes.</w:t>
      </w:r>
    </w:p>
    <w:p>
      <w:pPr>
        <w:pStyle w:val="Heading2"/>
        <w:spacing w:after="120" w:before="280" w:line="312"/>
      </w:pPr>
      <w:bookmarkStart w:name="_Toc6" w:id="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 Honest boundaries</w:t>
      </w:r>
      <w:bookmarkEnd w:id="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Individual ordinates are not predicted by the blind spectrum — statistics agreed, no oracle. The hypotheses O08/O09/O11/O12 are not removed: RH stays blocked. Vortex terms break Th5. Lattice constructions do not reproduce the arithmetic of ζ. These boundaries are part of the result, not its flaw.</w:t>
      </w:r>
    </w:p>
    <w:p>
      <w:pPr>
        <w:pStyle w:val="Heading2"/>
        <w:spacing w:after="120" w:before="280" w:line="312"/>
      </w:pPr>
      <w:bookmarkStart w:name="_Toc7" w:id="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 Key campaigns in detail</w:t>
      </w:r>
      <w:bookmarkEnd w:id="7"/>
    </w:p>
    <w:p>
      <w:pPr>
        <w:pStyle w:val="Heading2"/>
        <w:spacing w:after="120" w:before="280" w:line="312"/>
      </w:pPr>
      <w:bookmarkStart w:name="_Toc8" w:id="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6.1. Six campaigns that defined the core</w:t>
      </w:r>
      <w:bookmarkEnd w:id="8"/>
    </w:p>
    <w:p>
      <w:pPr>
        <w:pStyle w:val="Heading3"/>
        <w:spacing w:after="100" w:before="220" w:line="312"/>
      </w:pPr>
      <w:bookmarkStart w:id="100000" w:name="_Toc100000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V01 — the blind spectrum</w:t>
      </w:r>
      <w:bookmarkEnd w:id="10000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campaign is built as a strict no-leak check: the operator is calibrated on 600 ordinates and tested on another 600. The result is dual and both components matter. Positive: the test-set statistics agree with the construction expectations — correlations within control zones. Negative: individual ordinates are not predicted. The practical conclusion: the model works as a consistency counter, not as an oracle; any future claim of "zero prediction" must first refute this verdict.</w:t>
      </w:r>
    </w:p>
    <w:p>
      <w:pPr>
        <w:pStyle w:val="Heading3"/>
        <w:spacing w:after="100" w:before="220" w:line="312"/>
      </w:pPr>
      <w:bookmarkStart w:id="100001" w:name="_Toc100001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V02 — null models and GUE</w:t>
      </w:r>
      <w:bookmarkEnd w:id="10000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comparison with four null models (M0, N1, N4 and references) over r_mean, Σ₂, Δ₃ and the KS statistic showed: the AB cloud falls into the GUE class together with the controls (r_mean 0.6093 versus 0.5837 for random phases, KS 0.0499). Hence the program's methodological rule: GUE agreement is necessary but not sufficient; the arithmetic specificity is sought separately — in the trace, the constants and the behaviour.</w:t>
      </w:r>
    </w:p>
    <w:p>
      <w:pPr>
        <w:pStyle w:val="Heading3"/>
        <w:spacing w:after="100" w:before="220" w:line="312"/>
      </w:pPr>
      <w:bookmarkStart w:id="100002" w:name="_Toc100002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V07 — trace ↔ primes</w:t>
      </w:r>
      <w:bookmarkEnd w:id="10000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central arithmetic campaign of the core. The heat trace K(x) = Tr e^(−xH) expands in a series whose coefficients carry Λ(n)/√n — the content of Th6. The trace-prime correlation r = 0.9996; the lattice control without arithmetic gives 0.76; the gap is the measured specificity. An important side result — the B/C₀ constants erratum: the error was found by an independent derivation and fixed in the same verdict.</w:t>
      </w:r>
    </w:p>
    <w:p>
      <w:pPr>
        <w:pStyle w:val="Heading3"/>
        <w:spacing w:after="100" w:before="220" w:line="312"/>
      </w:pPr>
      <w:bookmarkStart w:id="100003" w:name="_Toc100003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V12 — Kato certificates</w:t>
      </w:r>
      <w:bookmarkEnd w:id="10000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campaign answers the question "how much can a computed eigenvalue be trusted". Kato theory gives the corridor δ²/gap plus a Gershgorin allowance; numerically the widths are of order 1e−27 at forty significant digits. A rare situation: the error of the estimate is known better than the estimate itself. These certificates later become the basis of the computed status in the obligation machine.</w:t>
      </w:r>
    </w:p>
    <w:p>
      <w:pPr>
        <w:pStyle w:val="Heading3"/>
        <w:spacing w:after="100" w:before="220" w:line="312"/>
      </w:pPr>
      <w:bookmarkStart w:id="100004" w:name="_Toc100004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V13 — the obligation machine</w:t>
      </w:r>
      <w:bookmarkEnd w:id="100004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executable DAG of the path to RH: five nodes proven, three computed, four assumed (O08, O09, O11, O12); the conclusion is automatically blocked. The verdict note fixes the principle: no numerical check raises the status. The campaign turned the program from a set of results into a system of obligations with checkable statuses.</w:t>
      </w:r>
    </w:p>
    <w:p>
      <w:pPr>
        <w:pStyle w:val="Heading3"/>
        <w:spacing w:after="100" w:before="220" w:line="312"/>
      </w:pPr>
      <w:bookmarkStart w:id="100005" w:name="_Toc100005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V19 — branch stitching</w:t>
      </w:r>
      <w:bookmarkEnd w:id="100005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final algebraic campaign of the core: the branches of the spectral construction are stitched with a θ-ladder, agreement 0.832 and coherence 0.9995 (z = 43.4); Z₂-monodromy. The certificate is algebraic: going around the branch point twice returns to the original branch. The stitching closes the construction and opens the R2 roadmap: refining r_align ≤ 0.135 and formalizing the monodromy.</w:t>
      </w:r>
    </w:p>
    <w:p>
      <w:pPr>
        <w:pStyle w:val="Heading2"/>
        <w:spacing w:after="120" w:before="280" w:line="312"/>
      </w:pPr>
      <w:bookmarkStart w:name="_Toc9" w:id="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7. The full campaign table</w:t>
      </w:r>
      <w:bookmarkEnd w:id="9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The full campaign table of the level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1083"/>
        <w:gridCol w:w="2347"/>
        <w:gridCol w:w="5596"/>
      </w:tblGrid>
      <w:tr>
        <w:trPr>
          <w:cantSplit/>
          <w:tblHeader/>
        </w:trPr>
        <w:tc>
          <w:tcPr>
            <w:tcW w:type="pct" w:w="6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pct" w:w="13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pct" w:w="3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Key result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Blind spectrum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слепой контроль выполнен; индивидуальные ординаты не предсказываются (r_test в нулевой зон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Null models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AB-cloud попадает в GUE-класс вместе с N1/N4; специфичность арифметики измеряется не ⟨r⟩, 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Lattice scan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минимум D(σ) в окрестности σ = 1/2 отсутствует или неустойчив — специфичность линии измере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Hermiticity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Th1 доказана: эрмитовость по построению, спектр вещественен, киральность α=½/W=0 — бипарти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Construction certificate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устойчивый степенной закон конечномерной ошибки обнаружен; экстраполяция за пределы прогон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V6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Lattice closure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тождество спектра (n ↔ нуль n) для решёточных затворов — НЕТ (ранговое соответствие в нуле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V7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Trace ↔ primes (Th6)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вес простых Λ(n)/√n доказательно живёт в тепловом следе H_ξ (Th6: |ΔK| ≤ 5e-5); в следах р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V8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Self-adjointness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Th2 доказана для конечной размерности; устойчивость предельной модели при смене BC — измер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V9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Block reduction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 доказана и верифицирована (тор без вихрей: спектр = объединение блоков характеров, вне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V10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Spectral certificates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часть арифметики (заряды) идентифицируема по старшим следам при достаточном k; ранг J &lt; n_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V11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Obligation DAG draft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GUE-универсальность выживает при всех режимах разрушения арифметики (⟨r⟩ в классе); арифме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V12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Kato certificates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все сертификаты содержат истинные значения; интервалы — гарантированные, а не десятичные д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V13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Obligation machine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формальная машина БЛОКИРУЕТ вывод RH: путь к заключению содержит гипотезы O08/O09/O11/O12;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V14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Claim audit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каждое публичное утверждение пакета трассируется к вычислению, контролю и перечню не-следс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V15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Li formula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Th4 доказана и верифицирована (два пути, |Δ| ≤ 1e-9); λ_n &gt; 0 для n ≤ 3000 измерено с серт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V16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Lattice re-check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V17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Trajectories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V18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Pong protocol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V19</w:t>
            </w:r>
          </w:p>
        </w:tc>
        <w:tc>
          <w:tcPr>
            <w:tcW w:type="pct" w:w="13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Branch stitching</w:t>
            </w:r>
          </w:p>
        </w:tc>
        <w:tc>
          <w:tcPr>
            <w:tcW w:type="pct" w:w="3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N/A</w:t>
            </w:r>
          </w:p>
        </w:tc>
      </w:tr>
      <w:tr>
        <w:trPr>
          <w:cantSplit/>
        </w:trPr>
        <w:tc>
          <w:tcPr>
            <w:tcW w:type="pct" w:w="6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</w:t>
            </w:r>
          </w:p>
        </w:tc>
        <w:tc>
          <w:tcPr>
            <w:tcW w:type="pct" w:w="13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Processor compilation (P0)</w:t>
            </w:r>
          </w:p>
        </w:tc>
        <w:tc>
          <w:tcPr>
            <w:tcW w:type="pct" w:w="3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1−F ≤ 4.4e-16; глубина ≤ 7/29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10" w:id="1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8. How to reproduce</w:t>
      </w:r>
      <w:bookmarkEnd w:id="10"/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cd modules/core_spectrum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python3 -m pytest tests/ -q              # core tests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scripts/compute_all.py           # rebuild computations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scripts/make_figures.py          # level figures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# web lab: modules/core_spectrum/web_lab/index.html</w:t>
      </w:r>
    </w:p>
    <w:p>
      <w:pPr>
        <w:pStyle w:val="Heading2"/>
        <w:spacing w:after="120" w:before="280" w:line="312"/>
      </w:pPr>
      <w:bookmarkStart w:name="_Toc11" w:id="1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9. Further reading</w:t>
      </w:r>
      <w:bookmarkEnd w:id="11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core docs: modules/core_spectrum/docs/ — theory and methods;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level monographs: modules/core_spectrum/monograph/ (incl. appendix_volume);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verdicts: modules/core_spectrum/data/v01…v19_verdict.json;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formal statements: formal/ — reductions A1–A6.</w:t>
      </w:r>
    </w:p>
    <w:sectPr>
      <w:footerReference w:type="default" r:id="rId7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2B2320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hAnsi="Times New Roman"/>
      <w:b/>
      <w:bCs/>
      <w:color w:val="2B23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7A5C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hAnsi="Times New Roman"/>
      <w:b/>
      <w:bCs/>
      <w:color w:val="2B2320"/>
      <w:sz w:val="23"/>
      <w:szCs w:val="23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Program: The Spectral Core (V01–V19, Th1–Th6, V13)</dc:title>
  <dc:creator>AB Cloud Quantum Research</dc:creator>
  <dc:description>Research Program Monograph · Version 1.0.0</dc:description>
  <cp:lastModifiedBy>Un-named</cp:lastModifiedBy>
  <cp:revision>1</cp:revision>
  <dcterms:created xsi:type="dcterms:W3CDTF">2026-10-12T04:04:21.349Z</dcterms:created>
  <dcterms:modified xsi:type="dcterms:W3CDTF">2026-10-12T04:04:21.350Z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