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B16" w:val="clear"/>
            <w:vAlign w:val="top"/>
          </w:tcPr>
          <w:p>
            <w:pPr>
              <w:spacing w:before="4047"/>
            </w:pPr>
          </w:p>
          <w:p>
            <w:pPr>
              <w:pBdr>
                <w:bottom w:val="single" w:color="C96F4A" w:sz="6" w:space="8"/>
              </w:pBdr>
              <w:spacing w:after="500"/>
              <w:ind w:left="1200" w:right="800"/>
            </w:pPr>
            <w:r>
              <w:rPr>
                <w:rFonts w:ascii="Calibri" w:hAnsi="Calibri"/>
                <w:color w:val="C96F4A"/>
                <w:sz w:val="18"/>
                <w:szCs w:val="18"/>
              </w:rPr>
              <w:t xml:space="preserve">R  E  S  E  A  R  C  H     P  R  O  G  R  A  M     ·     C  O  R  E</w:t>
            </w:r>
          </w:p>
          <w:p>
            <w:pPr>
              <w:spacing w:after="100" w:line="69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60"/>
                <w:szCs w:val="60"/>
              </w:rPr>
              <w:t xml:space="preserve">Исследовательская программа:</w:t>
            </w:r>
          </w:p>
          <w:p>
            <w:pPr>
              <w:spacing w:after="100" w:line="69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60"/>
                <w:szCs w:val="60"/>
              </w:rPr>
              <w:t xml:space="preserve">спектральное ядро (V01–V19,</w:t>
            </w:r>
          </w:p>
          <w:p>
            <w:pPr>
              <w:spacing w:after="300" w:line="69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60"/>
                <w:szCs w:val="60"/>
              </w:rPr>
              <w:t xml:space="preserve">Th1–Th6, V13)</w:t>
            </w:r>
          </w:p>
          <w:p>
            <w:pPr>
              <w:spacing w:after="800"/>
              <w:ind w:left="1200"/>
            </w:pPr>
            <w:r>
              <w:rPr>
                <w:rFonts w:ascii="Times New Roman" w:hAnsi="Times New Roman"/>
                <w:color w:val="B8A99C"/>
                <w:sz w:val="24"/>
                <w:szCs w:val="24"/>
              </w:rPr>
              <w:t xml:space="preserve">Монография исследовательской программы · Версия 1.0.0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Исаев Исхак Хамзатович · ORCID 0009-0003-7299-0701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AB Cloud Quantum Research · DOI 10.5281/zenodo.21825394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Стиль: Critical Line &amp; Copper</w:t>
            </w:r>
          </w:p>
          <w:p>
            <w:pPr>
              <w:spacing w:before="4047"/>
            </w:pPr>
          </w:p>
          <w:p>
            <w:pPr>
              <w:pBdr>
                <w:top w:val="single" w:color="C96F4A" w:sz="2" w:space="8"/>
              </w:pBdr>
              <w:tabs>
                <w:tab w:val="right" w:pos="9026"/>
              </w:tabs>
              <w:spacing w:before="200"/>
              <w:ind w:left="1200" w:right="800"/>
            </w:pP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AB CLOUD QUANTUM RESEARCH · v1.0.0</w:t>
            </w:r>
            <w:r>
              <w:t xml:space="preserve">	</w:t>
            </w: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2026 · PROPRIETARY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Исследовательская программа: спектральное ядро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Исследовательская программа: спектральное ядро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Цели программы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Методология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Исполненные кампании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Следующая волна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Честные границы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 Разбор ключевых кампаний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Шесть кампаний, определивших ядро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V01 — слепой спектр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V02 — нуль-модели и GUE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V07 — след ↔ простые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V12 — кутовские сертификаты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V13 — машина обязательств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V19 — сшивка ветвей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 Полная таблица кампаний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 Как воспроизвести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 Что читать дальше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40" w:bottom="1440" w:left="1440" w:header="708" w:footer="708" w:gutter="0"/>
          <w:pgNumType w:start="1" w:fmt="upperRoman"/>
          <w:docGrid w:linePitch="360"/>
        </w:sectPr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Word. После редактирования щёлкните по оглавлению правой кнопкой и выберите «Обновить поле», чтобы обновить номера страниц.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Исследовательская программа: спектральное ядро</w:t>
      </w:r>
      <w:bookmarkEnd w:id="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Программа ядра отвечает за математическую основу AB-архитектуры: слепой спектр, нуль-модели, критическую прямую, следовую формулу, машину обязательств и сшивку ветвей. Девятнадцать кампаний и шесть теорем образуют закрытый контур: конструкция → сертификат → формальная постановка → независимая проверка.</w:t>
      </w:r>
    </w:p>
    <w:p>
      <w:pPr>
        <w:pStyle w:val="Heading2"/>
        <w:spacing w:after="120" w:before="280" w:line="312"/>
      </w:pPr>
      <w:bookmarkStart w:name="_Toc2" w:id="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 Цели программы</w:t>
      </w:r>
      <w:bookmarkEnd w:id="2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построить эрмитов оператор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ξ</w:t>
      </w:r>
      <w:r>
        <w:rPr>
          <w:rFonts w:ascii="Times New Roman" w:hAnsi="Times New Roman"/>
          <w:color w:val="2B2320"/>
          <w:sz w:val="22"/>
          <w:szCs w:val="22"/>
        </w:rPr>
        <w:t xml:space="preserve">, тепловое разложение которого несёт арифметику простых (Λ(n)/√n);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доказать корректность конструкции: эрмитичность (Th1), самосопряжённость (Th2), кутовские сертификаты (Th3), формула Ли (Th4), блочная редукция (Th5), гуинанд–вайлевское соответствие (Th6);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отделить арифметическую специфичность от GUE-статистики — включая честные отрицательные ответы на решётках;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зафиксировать статус RH машиной обязательств V13 — и держать его заблокированным, пока гипотезы не доказаны.</w:t>
      </w:r>
    </w:p>
    <w:p>
      <w:pPr>
        <w:pStyle w:val="Heading2"/>
        <w:spacing w:after="120" w:before="280" w:line="312"/>
      </w:pPr>
      <w:bookmarkStart w:name="_Toc3" w:id="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 Методология</w:t>
      </w:r>
      <w:bookmarkEnd w:id="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Каждая кампания начинается с протокола предрегистрации: пороги фиксируются до прогона. Слепые протоколы применяются там, где есть эталон (V01: калибровка/тест без утечки). Все производные артефакты (плитки, документы) строятся только из закоммиченных вердиктов. Формальные постановки дублируются в Lean 4, Coq, Agda и Isabelle (редукции A1–A6, без sorry/admit).</w:t>
      </w:r>
    </w:p>
    <w:p>
      <w:pPr>
        <w:pStyle w:val="Heading2"/>
        <w:spacing w:after="120" w:before="280" w:line="312"/>
      </w:pPr>
      <w:bookmarkStart w:name="_Toc4" w:id="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 Исполненные кампании</w:t>
      </w:r>
      <w:bookmarkEnd w:id="4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Таблица 3.1. Кампании ядра V01–V19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903"/>
        <w:gridCol w:w="2708"/>
        <w:gridCol w:w="5416"/>
      </w:tblGrid>
      <w:tr>
        <w:trPr>
          <w:cantSplit/>
          <w:tblHeader/>
        </w:trPr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  <w:tc>
          <w:tcPr>
            <w:tcW w:type="pct" w:w="3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Ключевой результат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V01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спектр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статистика согласована; индивидуальные ординаты не предсказываются (честный негатив)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V02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нуль-модели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AB-облако в GUE-классе; специфичность измеряется тонкой структурой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V03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σ-скан решёток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зоны согласия с ζ не найдено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V04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эрмитичность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Th1: ‖H − H†‖ = 0.0; симметрия λ ↔ −λ при α = ½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V05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сертификат конструкции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конструкционные границы зафиксированы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V06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закрытие решёток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решёточное направление закрыто (негатив)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V07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 ↔ простые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Th6: r = 0.9996; контроль решётки 0.76; эрратум B/C₀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V08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самосопряжённость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Th2: дефекты (0,0); дрейф унитарности 2.2e−16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V09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блочная редукция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Th5: объединение блоков ≈ спектр до 7.1e−15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V10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спектральные сертификаты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сертификаты согласованы с кутовскими оценками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V11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черновик DAG обязательств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структура пути к RH зафиксирована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V12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кутовские сертификаты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Th3: ширины ~1e−27 (dps 40)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V13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машина обязательств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RH blocked: 5 proven / 3 computed / 4 assumed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V14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аудит заявлений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claim-файлы согласованы с вердиктами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V15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формула Ли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Th4: два пути ≤ 4.4e−11; сходимость абсолютная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V16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повторная решёточная проверка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негатив подтверждён на новой конструкции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V17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траектории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чтение идемпотентно; деградации нет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V18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pong-протокол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латентность ограничена; журнал не растёт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V19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сшивка ветвей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θ-лестница 0.832; когерентность 0.9995; Z₂-монодромия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5" w:id="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 Следующая волна</w:t>
      </w:r>
      <w:bookmarkEnd w:id="5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уточнение сшивки: r_align ≤ 0.135 на расширенной сетке высот;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монодромия ζ как алгебраический объект: формализация V19;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компиляция обязательств в Lean/Coq: O-lean/O-coq — перенос DAG V13 в формальный слой;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расширение сертификатов Th3–Th4 на большие размеры.</w:t>
      </w:r>
    </w:p>
    <w:p>
      <w:pPr>
        <w:pStyle w:val="Heading2"/>
        <w:spacing w:after="120" w:before="280" w:line="312"/>
      </w:pPr>
      <w:bookmarkStart w:name="_Toc6" w:id="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 Честные границы</w:t>
      </w:r>
      <w:bookmarkEnd w:id="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Индивидуальные ординаты не предсказываются слепым спектром — статистика согласована, оракула нет. Гипотезы O08/O09/O11/O12 не сняты: RH остаётся blocked. Вихревые члены ломают Th5. Решёточные конструкции не воспроизводят арифметику ζ. Эти границы — часть результата, а не его изъян.</w:t>
      </w:r>
    </w:p>
    <w:p>
      <w:pPr>
        <w:pStyle w:val="Heading2"/>
        <w:spacing w:after="120" w:before="280" w:line="312"/>
      </w:pPr>
      <w:bookmarkStart w:name="_Toc7" w:id="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 Разбор ключевых кампаний</w:t>
      </w:r>
      <w:bookmarkEnd w:id="7"/>
    </w:p>
    <w:p>
      <w:pPr>
        <w:pStyle w:val="Heading2"/>
        <w:spacing w:after="120" w:before="280" w:line="312"/>
      </w:pPr>
      <w:bookmarkStart w:name="_Toc8" w:id="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6.1. Шесть кампаний, определивших ядро</w:t>
      </w:r>
      <w:bookmarkEnd w:id="8"/>
    </w:p>
    <w:p>
      <w:pPr>
        <w:pStyle w:val="Heading3"/>
        <w:spacing w:after="100" w:before="220" w:line="312"/>
      </w:pPr>
      <w:bookmarkStart w:id="100000" w:name="_Toc100000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V01 — слепой спектр</w:t>
      </w:r>
      <w:bookmarkEnd w:id="10000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Кампания построена как строгая проверка без утечки: оператор калибруется на 600 ординатах, тестируется на других 600. Результат двойственный и оба его компонента важны. Положительный: статистика тестового набора согласована с ожиданиями конструкции — корреляции в пределах контрольных зон. Отрицательный: индивидуальные ординаты не предсказываются. Практический вывод: модель годится как счётчик согласованности, но не как оракул; любой будущий claim о «предсказании нулей» обязан сначала опровергнуть этот вердикт.</w:t>
      </w:r>
    </w:p>
    <w:p>
      <w:pPr>
        <w:pStyle w:val="Heading3"/>
        <w:spacing w:after="100" w:before="220" w:line="312"/>
      </w:pPr>
      <w:bookmarkStart w:id="100001" w:name="_Toc100001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V02 — нуль-модели и GUE</w:t>
      </w:r>
      <w:bookmarkEnd w:id="10000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Сравнение с четырьмя нуль-моделями (M0, N1, N4 и референсы) по r_mean, Σ₂, Δ₃ и KS-статистике показало: AB-облако попадает в GUE-класс вместе с контрольными моделями (r_mean 0.6093 против 0.5837 у случайных фаз, KS 0.0499). Отсюда методологическое правило программы: GUE-согласие — необходимое, но не достаточное условие; арифметическая специфичность ищется отдельно — в следе, константах и поведении.</w:t>
      </w:r>
    </w:p>
    <w:p>
      <w:pPr>
        <w:pStyle w:val="Heading3"/>
        <w:spacing w:after="100" w:before="220" w:line="312"/>
      </w:pPr>
      <w:bookmarkStart w:id="100002" w:name="_Toc100002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V07 — след ↔ простые</w:t>
      </w:r>
      <w:bookmarkEnd w:id="10000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Центральная арифметическая кампания ядра. Тепловой след K(x) = Tr e^(−xH) разворачивается в ряд, коэффициенты которого несут Λ(n)/√n — содержание Th6. Корреляция следа с суммой по простым r = 0.9996; контроль на решётке без арифметики даёт 0.76; разрыв и есть измеренная специфичность. Побочный, но важный результат — эрратум констант B/C₀: ошибка найдена независимым выводом и исправлена в том же вердикте.</w:t>
      </w:r>
    </w:p>
    <w:p>
      <w:pPr>
        <w:pStyle w:val="Heading3"/>
        <w:spacing w:after="100" w:before="220" w:line="312"/>
      </w:pPr>
      <w:bookmarkStart w:id="100003" w:name="_Toc100003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V12 — кутовские сертификаты</w:t>
      </w:r>
      <w:bookmarkEnd w:id="10000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Кампания отвечает на вопрос «насколько можно доверять вычисленному собственному значению». Кутовская теория даёт коридор δ²/gap плюс гершгориновскую добавку; численно ширины порядка 1e−27 при сорока значащих цифрах. Редкая ситуация: ошибка оценки известна лучше, чем сама оценка. Именно эти сертификаты позже становятся основой статуса computed в машине обязательств.</w:t>
      </w:r>
    </w:p>
    <w:p>
      <w:pPr>
        <w:pStyle w:val="Heading3"/>
        <w:spacing w:after="100" w:before="220" w:line="312"/>
      </w:pPr>
      <w:bookmarkStart w:id="100004" w:name="_Toc100004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V13 — машина обязательств</w:t>
      </w:r>
      <w:bookmarkEnd w:id="10000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Исполняемый DAG пути к RH: пять узлов proven, три computed, четыре assumed (O08, O09, O11, O12); заключение автоматически blocked. Вердикт-примечание фиксирует принципиальное: ни одна численная проверка не повышает статус. Кампания превратила программу из набора результатов в систему обязательств с проверяемыми статусами.</w:t>
      </w:r>
    </w:p>
    <w:p>
      <w:pPr>
        <w:pStyle w:val="Heading3"/>
        <w:spacing w:after="100" w:before="220" w:line="312"/>
      </w:pPr>
      <w:bookmarkStart w:id="100005" w:name="_Toc100005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V19 — сшивка ветвей</w:t>
      </w:r>
      <w:bookmarkEnd w:id="100005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Финальная алгебраическая кампания ядра: ветви спектральной конструкции сшиты θ-лестницей с согласованием 0.832 и когерентностью 0.9995 (z = 43.4); монодромия Z₂. Сертификат алгебраический: обход ветвления дважды возвращает в исходную ветвь. Сшивка замыкает конструкцию и открывает дорожную карту R2: уточнение r_align ≤ 0.135 и формализация монодромии.</w:t>
      </w:r>
    </w:p>
    <w:p>
      <w:pPr>
        <w:pStyle w:val="Heading2"/>
        <w:spacing w:after="120" w:before="280" w:line="312"/>
      </w:pPr>
      <w:bookmarkStart w:name="_Toc9" w:id="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7. Полная таблица кампаний</w:t>
      </w:r>
      <w:bookmarkEnd w:id="9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Полная таблица кампаний уровня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083"/>
        <w:gridCol w:w="2347"/>
        <w:gridCol w:w="5596"/>
      </w:tblGrid>
      <w:tr>
        <w:trPr>
          <w:cantSplit/>
          <w:tblHeader/>
        </w:trPr>
        <w:tc>
          <w:tcPr>
            <w:tcW w:type="pct" w:w="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Кампания</w:t>
            </w:r>
          </w:p>
        </w:tc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pct" w:w="3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Ключевой результат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спектр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контроль выполнен; индивидуальные ординаты не предсказываются (r_test в нулевой зон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Нуль-модели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AB-cloud попадает в GUE-класс вместе с N1/N4; специфичность арифметики измеряется не ⟨r⟩, 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Скан критической линии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минимум D(σ) в окрестности σ = 1/2 отсутствует или неустойчив — специфичность линии измере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Паспорт оператора (Th1)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Th1 доказана: эрмитовость по построению, спектр вещественен, киральность α=½/W=0 — бипарти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Предел решётки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устойчивый степенной закон конечномерной ошибки обнаружен; экстраполяция за пределы прогон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V6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Спектральное тождество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тождество спектра (n ↔ нуль n) для решёточных затворов — НЕТ (ранговое соответствие в нуле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V7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Следовая формула (Th6)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вес простых Λ(n)/√n доказательно живёт в тепловом следе H_ξ (Th6: |ΔK| ≤ 5e-5); в следах р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V8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Самосопряжённость (Th2)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Th2 доказана для конечной размерности; устойчивость предельной модели при смене BC — измер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V9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Блочная редукция (Th5)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 доказана и верифицирована (тор без вихрей: спектр = объединение блоков характеров, вне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V10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Обратная задача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часть арифметики (заряды) идентифицируема по старшим следам при достаточном k; ранг J &lt; n_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Универсальность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GUE-универсальность выживает при всех режимах разрушения арифметики (⟨r⟩ в классе); арифме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Сертификаты (Th3)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все сертификаты содержат истинные значения; интервалы — гарантированные, а не десятичные д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Машина обязательств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формальная машина БЛОКИРУЕТ вывод RH: путь к заключению содержит гипотезы O08/O09/O11/O12;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Аудит утверждений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каждое публичное утверждение пакета трассируется к вычислению, контролю и перечню не-следс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Критерий Ли (Th4)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Th4 доказана и верифицирована (два пути, |Δ| ≤ 1e-9); λ_n &gt; 0 для n ≤ 3000 измерено с серт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V16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Полный гамильтониан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V17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Электрон на критической прямой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V18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AB-оператор как процессор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V19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Сшивка ветвей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Компилятор AB-облаков (P0)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1−F ≤ 4.4e-16; глубина ≤ 7/29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0" w:id="1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8. Как воспроизвести</w:t>
      </w:r>
      <w:bookmarkEnd w:id="10"/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cd modules/core_spectrum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python3 -m pytest tests/ -q              # тесты ядра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scripts/compute_all.py           # пересборка вычислений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scripts/make_figures.py          # фигуры уровня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# веб-лаборатория: modules/core_spectrum/web_lab/index.html</w:t>
      </w:r>
    </w:p>
    <w:p>
      <w:pPr>
        <w:pStyle w:val="Heading2"/>
        <w:spacing w:after="120" w:before="280" w:line="312"/>
      </w:pPr>
      <w:bookmarkStart w:name="_Toc11" w:id="1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9. Что читать дальше</w:t>
      </w:r>
      <w:bookmarkEnd w:id="11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docs ядра: modules/core_spectrum/docs/ — теория и методы;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монографии уровня: modules/core_spectrum/monograph/ (включая appendix_volume);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вердикты: modules/core_spectrum/data/v01…v19_verdict.json;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формальные постановки: formal/ — редукции A1–A6.</w:t>
      </w:r>
    </w:p>
    <w:sectPr>
      <w:footerReference w:type="default" r:id="rId7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2B2320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hAnsi="Times New Roman"/>
      <w:b/>
      <w:bCs/>
      <w:color w:val="2B23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7A5C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hAnsi="Times New Roman"/>
      <w:b/>
      <w:bCs/>
      <w:color w:val="2B2320"/>
      <w:sz w:val="23"/>
      <w:szCs w:val="23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Исследовательская программа: спектральное ядро (V01–V19, Th1–Th6, V13)</dc:title>
  <dc:creator>AB Cloud Quantum Research</dc:creator>
  <dc:description>Монография исследовательской программы · Версия 1.0.0</dc:description>
  <cp:lastModifiedBy>Un-named</cp:lastModifiedBy>
  <cp:revision>1</cp:revision>
  <dcterms:created xsi:type="dcterms:W3CDTF">2026-10-12T04:04:21.171Z</dcterms:created>
  <dcterms:modified xsi:type="dcterms:W3CDTF">2026-10-12T04:04:21.171Z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