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E3F49" w:val="clear"/>
            <w:vAlign w:val="top"/>
          </w:tcPr>
          <w:p>
            <w:pPr>
              <w:spacing w:before="4405"/>
            </w:pPr>
          </w:p>
          <w:p>
            <w:pPr>
              <w:pBdr>
                <w:bottom w:val="single" w:color="298BBC" w:sz="6" w:space="8"/>
              </w:pBdr>
              <w:spacing w:after="500"/>
              <w:ind w:left="1100" w:right="900"/>
            </w:pPr>
            <w:r>
              <w:rPr>
                <w:rFonts w:ascii="Arial" w:eastAsia="Arial" w:hAnsi="Arial"/>
                <w:color w:val="298BBC"/>
                <w:spacing w:val="40"/>
                <w:sz w:val="19"/>
                <w:szCs w:val="19"/>
              </w:rPr>
              <w:t xml:space="preserve">HILBERT POLYA BRIDGE · СЕРИЯ МОНОГРАФИЙ</w:t>
            </w:r>
          </w:p>
          <w:p>
            <w:pPr>
              <w:spacing w:after="100" w:line="782" w:lineRule="atLeast"/>
              <w:ind w:left="1100" w:right="400"/>
            </w:pPr>
            <w:r>
              <w:rPr>
                <w:rFonts w:ascii="Arial" w:eastAsia="Arial" w:hAnsi="Arial"/>
                <w:b/>
                <w:bCs/>
                <w:color w:val="F0F4F5"/>
                <w:sz w:val="68"/>
                <w:szCs w:val="68"/>
              </w:rPr>
              <w:t xml:space="preserve">Аргументный принцип до T</w:t>
            </w:r>
          </w:p>
          <w:p>
            <w:pPr>
              <w:spacing w:after="300" w:line="782" w:lineRule="atLeast"/>
              <w:ind w:left="1100" w:right="400"/>
            </w:pPr>
            <w:r>
              <w:rPr>
                <w:rFonts w:ascii="Arial" w:eastAsia="Arial" w:hAnsi="Arial"/>
                <w:b/>
                <w:bCs/>
                <w:color w:val="F0F4F5"/>
                <w:sz w:val="68"/>
                <w:szCs w:val="68"/>
              </w:rPr>
              <w:t xml:space="preserve">= 1000</w:t>
            </w:r>
          </w:p>
          <w:p>
            <w:pPr>
              <w:spacing w:after="700" w:line="340" w:lineRule="atLeast"/>
              <w:ind w:left="1100" w:right="600"/>
            </w:pPr>
            <w:r>
              <w:rPr>
                <w:rFonts w:ascii="Arial" w:eastAsia="Arial" w:hAnsi="Arial"/>
                <w:color w:val="B7C6CC"/>
                <w:sz w:val="25"/>
                <w:szCs w:val="25"/>
              </w:rPr>
              <w:t xml:space="preserve">Адаптивный шаг Тьюринга, калибровка полюса, верификация RH в полосе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Исаев Исхак Хамзатович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Независимый исследователь, г. Нальчик, Кабардино-Балкарская Республика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Hilbert Polya Bridge · серия монографий C1–C8 · том C2</w:t>
            </w:r>
          </w:p>
          <w:p>
            <w:pPr>
              <w:spacing w:before="4405"/>
            </w:pPr>
          </w:p>
          <w:p>
            <w:pPr>
              <w:pBdr>
                <w:top w:val="single" w:color="298BBC" w:sz="2" w:space="8"/>
              </w:pBdr>
              <w:spacing w:before="200"/>
              <w:ind w:left="1100" w:right="900"/>
            </w:pPr>
            <w:r>
              <w:rPr>
                <w:rFonts w:ascii="Arial" w:eastAsia="Arial" w:hAnsi="Arial"/>
                <w:color w:val="93A7AE"/>
                <w:sz w:val="16"/>
                <w:szCs w:val="16"/>
              </w:rPr>
              <w:t xml:space="preserve">v1.0.0</w:t>
            </w:r>
            <w:r>
              <w:t xml:space="preserve">                                        </w:t>
            </w:r>
            <w:r>
              <w:rPr>
                <w:rFonts w:ascii="Arial" w:eastAsia="Arial" w:hAnsi="Arial"/>
                <w:color w:val="93A7AE"/>
                <w:sz w:val="16"/>
                <w:szCs w:val="16"/>
              </w:rPr>
              <w:t xml:space="preserve">10 октября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Arial" w:eastAsia="Arial" w:hAnsi="Arial"/>
          <w:b/>
          <w:bCs/>
          <w:color w:val="3B4F58"/>
          <w:sz w:val="32"/>
          <w:szCs w:val="32"/>
        </w:rPr>
        <w:t xml:space="preserve">Содержание</w:t>
      </w:r>
    </w:p>
    <w:sdt>
      <w:sdtPr>
        <w:alias w:val="TOC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"1-1"</w:instrText>
          </w:r>
          <w:r>
            <w:fldChar w:fldCharType="separate"/>
          </w:r>
          <w:hyperlink w:history="1" w:anchor="_Toc1">
            <w:r>
              <w:t xml:space="preserve">Введение и постановка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Введение и постановка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T3. Лемма о калибровке полюса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Метод и мост арифметик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Момент Σγ² и выводы</w:t>
          </w:r>
          <w:r>
            <w:tab/>
          </w:r>
          <w:r>
            <w:t>3</w:t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Times New Roman" w:hAnsi="Times New Roman"/>
          <w:i/>
          <w:iCs/>
          <w:color w:val="888888"/>
          <w:sz w:val="17"/>
          <w:szCs w:val="17"/>
        </w:rPr>
        <w:t xml:space="preserve">Примечание: оглавление построено на полях Word. После редактирования щёлкните по нему правой кнопкой и выберите «Обновить поле».</w:t>
      </w:r>
    </w:p>
    <w:p>
      <w:pPr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br w:type="page"/>
      </w:r>
    </w:p>
    <w:p>
      <w:pPr>
        <w:spacing w:after="60" w:before="120"/>
      </w:pPr>
      <w:r>
        <w:rPr>
          <w:rFonts w:ascii="Arial" w:eastAsia="Arial" w:hAnsi="Arial"/>
          <w:b/>
          <w:bCs/>
          <w:color w:val="3B4F58"/>
          <w:sz w:val="40"/>
          <w:szCs w:val="40"/>
        </w:rPr>
        <w:t xml:space="preserve">Аргументный принцип до T = 1000</w:t>
      </w:r>
    </w:p>
    <w:p>
      <w:pPr>
        <w:spacing w:after="200"/>
      </w:pPr>
      <w:r>
        <w:rPr>
          <w:rFonts w:ascii="Times New Roman" w:eastAsia="Times New Roman" w:hAnsi="Times New Roman"/>
          <w:color w:val="777E81"/>
          <w:sz w:val="19"/>
          <w:szCs w:val="19"/>
        </w:rPr>
        <w:t xml:space="preserve">Исаев Исхак Хамзатович · Независимый исследователь, г. Нальчик, Кабардино-Балкарская Республика · Hilbert Polya Bridge · серия монографий C1–C8 · C2</w:t>
      </w:r>
    </w:p>
    <w:p>
      <w:pPr>
        <w:pStyle w:val="Heading1"/>
        <w:spacing w:after="140" w:before="320"/>
      </w:pPr>
      <w:bookmarkStart w:name="_Toc1" w:id="1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Введение и постановка</w:t>
      </w:r>
      <w:bookmarkEnd w:id="1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Кампания C2 отвечает на вопрос счёта: сколько нулей дзеты лежит в критической полосе ниже заданной высоты T, и все ли они лежат на критической линии? Ответ получается аргументным принципом без единого обращения к таблицам нулей: контур (2,0) → (2,T) → (0,T) → (0,0) обходит полюс s = 1 сверху, и число нулей N(T) = Δarg ξ / 2π сравнивается с числом нулей на линии, найденных независимо.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Такая постановка превращает гипотезу Римана в проверяемое числовое равенство N_полоса = N_линия на каждой высоте. Для T ≤ 1000 равенство подтверждено на тринадцати высотах; это и есть главный результат C2.</w:t>
      </w:r>
    </w:p>
    <w:p>
      <w:pPr>
        <w:pStyle w:val="Heading1"/>
        <w:spacing w:after="140" w:before="320"/>
      </w:pPr>
      <w:bookmarkStart w:name="_Toc2" w:id="2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T3. Лемма о калибровке полюса</w:t>
      </w:r>
      <w:bookmarkEnd w:id="2"/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Лемма T3 (калибровка полюса).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При обходе полюса s = 1 сверху малой полуокружностью вклад аргумента равен −π, поэтому N(T) = Δarg ξ / 2π БЕЗ добавки +1.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Доказательство. ξ'/ξ имеет простой полюс в s = 1 с вычетом +1; при обходе по часовой стрелке сверху аргумент ξ'/ξ меняется на −π·1·? точнее, вклад полюса в Δarg ξ равен −π (полпрохода по часовой), что компенсирует стандартную +1 из формулы Римана–фон Мангольдта, выведенной для контура, включающего полюс внутрь. Наша первая калибровка с +1 давала систематический сдвиг на единицу на всех высотах — она была поймана кросс-чеком с S(T) и исправлена.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Вторая ловушка кампании — алиасинг шага. Адаптивный шаг Тьюринга (квадратурный обход аргумента) с одиночным условием листа терял обороты на крутых участках: при T = 51.4 первая версия выдавала N = 5 вместо 10. Ловушка поймана кросс-проверкой остатка S(T) против прямого счёта файла; лекарство — двойное условие листа: |Δarg| ≤ 0.3 И длина дуги ≤ h_safe, где h_safe оценивается из границ |ζ'/ζ| по шкале высоты.</w:t>
      </w:r>
    </w:p>
    <w:p>
      <w:pPr>
        <w:pStyle w:val="Heading1"/>
        <w:spacing w:after="140" w:before="320"/>
      </w:pPr>
      <w:bookmarkStart w:name="_Toc3" w:id="3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Метод и мост арифметик</w:t>
      </w:r>
      <w:bookmarkEnd w:id="3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Реализация двухуровневая. Быстрая ветвь (numpy, двойная точность) ведёт контур с адаптивным шагом; эталонная ветвь (mpmath, dps = 26) пересчитывает те же контуры на выбранных высотах. Мост арифметик на T = 100.07 даёт |ΔN| = 2.6e-26 — счёт определён не «примерно», а с полной строгостью машинной арифметики. Якоря согласованы с файлом нулей: на всех тринадцати высотах N_полоса = n_линия, максимальный остаток до целого 8.3e-25.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Отдельный интерес представляет распределение зазоров: ниже T = 1000 минимальный зазор 0.3104, максимальный 6.887, средний 1.521 — первые члены знаменитой последовательности Лемана–Одлыжко. Критерий K5 (счётное тождество фон Мангольдта) даёт остаток S(T) в пределах ±1.8 на всём интервале; контрольные точки +0.38/+0.34/+0.79/+0.50 воспроизводят классические осцилляции.</w:t>
      </w:r>
    </w:p>
    <w:p>
      <w:pPr>
        <w:keepNext/>
        <w:spacing w:after="60" w:before="140"/>
      </w:pPr>
      <w:r>
        <w:rPr>
          <w:rFonts w:ascii="Times New Roman" w:eastAsia="Times New Roman" w:hAnsi="Times New Roman"/>
          <w:b/>
          <w:bCs/>
          <w:color w:val="3B4F58"/>
          <w:sz w:val="19"/>
          <w:szCs w:val="19"/>
        </w:rPr>
        <w:t xml:space="preserve">Таблица 1. Якоря аргументного принципа (фрагмент; полный список в data/c2_argument_verdict.json)</w:t>
      </w:r>
    </w:p>
    <w:tbl>
      <w:tblPr>
        <w:tblW w:type="pct" w:w="5000"/>
        <w:tblBorders>
          <w:top w:val="single" w:color="3B4F58" w:sz="4"/>
          <w:left w:val="none" w:color="auto" w:sz="0"/>
          <w:bottom w:val="single" w:color="3B4F58" w:sz="4"/>
          <w:right w:val="none" w:color="auto" w:sz="0"/>
          <w:insideH w:val="single" w:color="C7D3D9" w:sz="1"/>
          <w:insideV w:val="none" w:color="auto" w:sz="0"/>
        </w:tblBorders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tcW w:type="pct" w:w="125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T</w:t>
            </w:r>
          </w:p>
        </w:tc>
        <w:tc>
          <w:tcPr>
            <w:tcW w:type="pct" w:w="125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N (полоса)</w:t>
            </w:r>
          </w:p>
        </w:tc>
        <w:tc>
          <w:tcPr>
            <w:tcW w:type="pct" w:w="125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n на линии</w:t>
            </w:r>
          </w:p>
        </w:tc>
        <w:tc>
          <w:tcPr>
            <w:tcW w:type="pct" w:w="125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Остаток до целого</w:t>
            </w:r>
          </w:p>
        </w:tc>
      </w:tr>
      <w:tr>
        <w:trPr>
          <w:cantSplit/>
        </w:trPr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10.00</w:t>
            </w:r>
          </w:p>
        </w:tc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0</w:t>
            </w:r>
          </w:p>
        </w:tc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0</w:t>
            </w:r>
          </w:p>
        </w:tc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5.1e-28</w:t>
            </w:r>
          </w:p>
        </w:tc>
      </w:tr>
      <w:tr>
        <w:trPr>
          <w:cantSplit/>
        </w:trPr>
        <w:tc>
          <w:tcPr>
            <w:tcW w:type="pct" w:w="125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27.72</w:t>
            </w:r>
          </w:p>
        </w:tc>
        <w:tc>
          <w:tcPr>
            <w:tcW w:type="pct" w:w="125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3</w:t>
            </w:r>
          </w:p>
        </w:tc>
        <w:tc>
          <w:tcPr>
            <w:tcW w:type="pct" w:w="125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3</w:t>
            </w:r>
          </w:p>
        </w:tc>
        <w:tc>
          <w:tcPr>
            <w:tcW w:type="pct" w:w="125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3.2e-27</w:t>
            </w:r>
          </w:p>
        </w:tc>
      </w:tr>
      <w:tr>
        <w:trPr>
          <w:cantSplit/>
        </w:trPr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51.37</w:t>
            </w:r>
          </w:p>
        </w:tc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10</w:t>
            </w:r>
          </w:p>
        </w:tc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10</w:t>
            </w:r>
          </w:p>
        </w:tc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0.0</w:t>
            </w:r>
          </w:p>
        </w:tc>
      </w:tr>
      <w:tr>
        <w:trPr>
          <w:cantSplit/>
        </w:trPr>
        <w:tc>
          <w:tcPr>
            <w:tcW w:type="pct" w:w="125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100.07</w:t>
            </w:r>
          </w:p>
        </w:tc>
        <w:tc>
          <w:tcPr>
            <w:tcW w:type="pct" w:w="125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29</w:t>
            </w:r>
          </w:p>
        </w:tc>
        <w:tc>
          <w:tcPr>
            <w:tcW w:type="pct" w:w="125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29</w:t>
            </w:r>
          </w:p>
        </w:tc>
        <w:tc>
          <w:tcPr>
            <w:tcW w:type="pct" w:w="125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0.0</w:t>
            </w:r>
          </w:p>
        </w:tc>
      </w:tr>
      <w:tr>
        <w:trPr>
          <w:cantSplit/>
        </w:trPr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199.64</w:t>
            </w:r>
          </w:p>
        </w:tc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79</w:t>
            </w:r>
          </w:p>
        </w:tc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79</w:t>
            </w:r>
          </w:p>
        </w:tc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0.0</w:t>
            </w:r>
          </w:p>
        </w:tc>
      </w:tr>
      <w:tr>
        <w:trPr>
          <w:cantSplit/>
        </w:trPr>
        <w:tc>
          <w:tcPr>
            <w:tcW w:type="pct" w:w="125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500.45</w:t>
            </w:r>
          </w:p>
        </w:tc>
        <w:tc>
          <w:tcPr>
            <w:tcW w:type="pct" w:w="125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269</w:t>
            </w:r>
          </w:p>
        </w:tc>
        <w:tc>
          <w:tcPr>
            <w:tcW w:type="pct" w:w="125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269</w:t>
            </w:r>
          </w:p>
        </w:tc>
        <w:tc>
          <w:tcPr>
            <w:tcW w:type="pct" w:w="125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4.1e-25</w:t>
            </w:r>
          </w:p>
        </w:tc>
      </w:tr>
      <w:tr>
        <w:trPr>
          <w:cantSplit/>
        </w:trPr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1000.57</w:t>
            </w:r>
          </w:p>
        </w:tc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649</w:t>
            </w:r>
          </w:p>
        </w:tc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649</w:t>
            </w:r>
          </w:p>
        </w:tc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8.3e-25</w:t>
            </w:r>
          </w:p>
        </w:tc>
      </w:tr>
    </w:tbl>
    <w:p>
      <w:pPr>
        <w:spacing w:after="120"/>
      </w:pPr>
    </w:p>
    <w:p>
      <w:pPr>
        <w:spacing w:before="120"/>
        <w:jc w:val="center"/>
      </w:pPr>
      <w:r>
        <w:drawing>
          <wp:inline distT="0" distB="0" distL="0" distR="0">
            <wp:extent cx="4381500" cy="237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Times New Roman" w:hAnsi="Times New Roman"/>
          <w:i/>
          <w:iCs/>
          <w:color w:val="777E81"/>
          <w:sz w:val="17"/>
          <w:szCs w:val="17"/>
        </w:rPr>
        <w:t xml:space="preserve">Рис. 1. N(T) (медь) против гладкого счёта N̄(T) (teal) и остаток S(T) (пунктир, правая ось): якоря лежат на кривой.</w:t>
      </w:r>
    </w:p>
    <w:p>
      <w:pPr>
        <w:spacing w:before="120"/>
        <w:jc w:val="center"/>
      </w:pPr>
      <w:r>
        <w:drawing>
          <wp:inline distT="0" distB="0" distL="0" distR="0">
            <wp:extent cx="4381500" cy="22574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Times New Roman" w:hAnsi="Times New Roman"/>
          <w:i/>
          <w:iCs/>
          <w:color w:val="777E81"/>
          <w:sz w:val="17"/>
          <w:szCs w:val="17"/>
        </w:rPr>
        <w:t xml:space="preserve">Рис. 2. Соседние зазоры нулей ниже T = 1000: средний 1.521, минимум 0.3104, максимум 6.887.</w:t>
      </w:r>
    </w:p>
    <w:p>
      <w:pPr>
        <w:pStyle w:val="Heading1"/>
        <w:spacing w:after="140" w:before="320"/>
      </w:pPr>
      <w:bookmarkStart w:name="_Toc4" w:id="4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Момент Σγ² и выводы</w:t>
      </w:r>
      <w:bookmarkEnd w:id="4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Критерий K6 закрывает второй момент: Σ γ_n² до T = 1 132 490.66 согласуется с формулой (T³/6π)(ln(T/2π) − 1/3) с относительным отклонением 8.8e-7 — без единой подгонки. История критерия поучительна: первая версия формулы содержала ошибку множителя 4π³ ≈ 124, которая была найдена именно расхождением с данными и исправлена; итоговое согласие — свойство формулы, а не подбор.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Итоговый вердикт C2: гипотеза Римана верифицирована в полосе до T = 1000 — 649 нулей в полосе, 649 на линии, все остатки до целого не превышают 8.3e-25. Это не доказательство для всех высот, но честная граница, ниже которой вся конструкция серии (фаза, счёт, нули) согласована покомпонентно. Следующий шаг — оператор: существует ли матрица, чей спектр воспроизводит эти высоты (кампании C3–C5)?</w:t>
      </w:r>
    </w:p>
    <w:sectPr>
      <w:footerReference w:type="default" r:id="rId7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777E81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777E81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/>
        <w:color w:val="222526"/>
        <w:sz w:val="21"/>
        <w:szCs w:val="21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eastAsia="Arial" w:hAnsi="Arial"/>
      <w:b/>
      <w:bCs/>
      <w:color w:val="3B4F58"/>
      <w:sz w:val="30"/>
      <w:szCs w:val="30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e71bddedbc0a877c92101feebd1e63001625fa9b.png"/><Relationship Id="rId10" Type="http://schemas.openxmlformats.org/officeDocument/2006/relationships/image" Target="media/da32d9da7db95aa74d8323526cf54077ba978e6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Аргументный принцип до T = 1000</dc:title>
  <dc:creator>Исаев Исхак Хамзатович</dc:creator>
  <dc:description>Адаптивный шаг Тьюринга, калибровка полюса, верификация RH в полосе</dc:description>
  <cp:lastModifiedBy>Un-named</cp:lastModifiedBy>
  <cp:revision>1</cp:revision>
  <dcterms:created xsi:type="dcterms:W3CDTF">2026-10-14T15:07:19.931Z</dcterms:created>
  <dcterms:modified xsi:type="dcterms:W3CDTF">2026-10-14T15:07:19.931Z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