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500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11906"/>
      </w:tblGrid>
      <w:tr>
        <w:trPr>
          <w:trHeight w:val="16838" w:hRule="exact"/>
        </w:trPr>
        <w:tc>
          <w:tcPr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2E3F49" w:val="clear"/>
            <w:vAlign w:val="top"/>
          </w:tcPr>
          <w:p>
            <w:pPr>
              <w:spacing w:before="4405"/>
            </w:pPr>
          </w:p>
          <w:p>
            <w:pPr>
              <w:pBdr>
                <w:bottom w:val="single" w:color="298BBC" w:sz="6" w:space="8"/>
              </w:pBdr>
              <w:spacing w:after="500"/>
              <w:ind w:left="1100" w:right="900"/>
            </w:pPr>
            <w:r>
              <w:rPr>
                <w:rFonts w:ascii="Arial" w:eastAsia="Arial" w:hAnsi="Arial"/>
                <w:color w:val="298BBC"/>
                <w:spacing w:val="40"/>
                <w:sz w:val="19"/>
                <w:szCs w:val="19"/>
              </w:rPr>
              <w:t xml:space="preserve">HILBERT POLYA BRIDGE · СЕРИЯ МОНОГРАФИЙ</w:t>
            </w:r>
          </w:p>
          <w:p>
            <w:pPr>
              <w:spacing w:after="100" w:line="782" w:lineRule="atLeast"/>
              <w:ind w:left="1100" w:right="400"/>
            </w:pPr>
            <w:r>
              <w:rPr>
                <w:rFonts w:ascii="Arial" w:eastAsia="Arial" w:hAnsi="Arial"/>
                <w:b/>
                <w:bCs/>
                <w:color w:val="F0F4F5"/>
                <w:sz w:val="68"/>
                <w:szCs w:val="68"/>
              </w:rPr>
              <w:t xml:space="preserve">Мост Гильберта–Пойа:</w:t>
            </w:r>
          </w:p>
          <w:p>
            <w:pPr>
              <w:spacing w:after="300" w:line="782" w:lineRule="atLeast"/>
              <w:ind w:left="1100" w:right="400"/>
            </w:pPr>
            <w:r>
              <w:rPr>
                <w:rFonts w:ascii="Arial" w:eastAsia="Arial" w:hAnsi="Arial"/>
                <w:b/>
                <w:bCs/>
                <w:color w:val="F0F4F5"/>
                <w:sz w:val="68"/>
                <w:szCs w:val="68"/>
              </w:rPr>
              <w:t xml:space="preserve">каноническое изложение</w:t>
            </w:r>
          </w:p>
          <w:p>
            <w:pPr>
              <w:spacing w:after="700" w:line="340" w:lineRule="atLeast"/>
              <w:ind w:left="1100" w:right="600"/>
            </w:pPr>
            <w:r>
              <w:rPr>
                <w:rFonts w:ascii="Arial" w:eastAsia="Arial" w:hAnsi="Arial"/>
                <w:color w:val="B7C6CC"/>
                <w:sz w:val="25"/>
                <w:szCs w:val="25"/>
              </w:rPr>
              <w:t xml:space="preserve">Шестнадцать кампаний C1–C16, восемнадцать теорем T1–T18, следовая формула Гинанда–Вейля и пиксельный протокол — единая версия пакета</w:t>
            </w:r>
          </w:p>
          <w:p>
            <w:pPr>
              <w:pBdr>
                <w:left w:val="single" w:color="298BBC" w:sz="8" w:space="12"/>
              </w:pBdr>
              <w:spacing w:after="80"/>
              <w:ind w:left="1300"/>
            </w:pPr>
            <w:r>
              <w:rPr>
                <w:rFonts w:ascii="Arial" w:eastAsia="Arial" w:hAnsi="Arial"/>
                <w:color w:val="D7E2E6"/>
                <w:sz w:val="21"/>
                <w:szCs w:val="21"/>
              </w:rPr>
              <w:t xml:space="preserve">Исаев Исхак Хамзатович</w:t>
            </w:r>
          </w:p>
          <w:p>
            <w:pPr>
              <w:pBdr>
                <w:left w:val="single" w:color="298BBC" w:sz="8" w:space="12"/>
              </w:pBdr>
              <w:spacing w:after="80"/>
              <w:ind w:left="1300"/>
            </w:pPr>
            <w:r>
              <w:rPr>
                <w:rFonts w:ascii="Arial" w:eastAsia="Arial" w:hAnsi="Arial"/>
                <w:color w:val="D7E2E6"/>
                <w:sz w:val="21"/>
                <w:szCs w:val="21"/>
              </w:rPr>
              <w:t xml:space="preserve">Независимый исследователь, Нальчик, Кабардино-Балкарская Республика</w:t>
            </w:r>
          </w:p>
          <w:p>
            <w:pPr>
              <w:pBdr>
                <w:left w:val="single" w:color="298BBC" w:sz="8" w:space="12"/>
              </w:pBdr>
              <w:spacing w:after="80"/>
              <w:ind w:left="1300"/>
            </w:pPr>
            <w:r>
              <w:rPr>
                <w:rFonts w:ascii="Arial" w:eastAsia="Arial" w:hAnsi="Arial"/>
                <w:color w:val="D7E2E6"/>
                <w:sz w:val="21"/>
                <w:szCs w:val="21"/>
              </w:rPr>
              <w:t xml:space="preserve">Hilbert Polya Bridge · каноническая серия · том Canon</w:t>
            </w:r>
          </w:p>
          <w:p>
            <w:pPr>
              <w:spacing w:before="4405"/>
            </w:pPr>
          </w:p>
          <w:p>
            <w:pPr>
              <w:pBdr>
                <w:top w:val="single" w:color="298BBC" w:sz="2" w:space="8"/>
              </w:pBdr>
              <w:spacing w:before="200"/>
              <w:ind w:left="1100" w:right="900"/>
            </w:pPr>
            <w:r>
              <w:rPr>
                <w:rFonts w:ascii="Arial" w:eastAsia="Arial" w:hAnsi="Arial"/>
                <w:color w:val="93A7AE"/>
                <w:sz w:val="16"/>
                <w:szCs w:val="16"/>
              </w:rPr>
              <w:t xml:space="preserve">v2.0.0</w:t>
            </w:r>
            <w:r>
              <w:t xml:space="preserve">                                        </w:t>
            </w:r>
            <w:r>
              <w:rPr>
                <w:rFonts w:ascii="Arial" w:eastAsia="Arial" w:hAnsi="Arial"/>
                <w:color w:val="93A7AE"/>
                <w:sz w:val="16"/>
                <w:szCs w:val="16"/>
              </w:rPr>
              <w:t xml:space="preserve">13 октября 2026</w:t>
            </w:r>
          </w:p>
        </w:tc>
      </w:tr>
    </w:tbl>
    <w:p>
      <w:pPr>
        <w:sectPr>
          <w:pgSz w:w="11906" w:h="16838" w:orient="portrait"/>
          <w:pgMar w:top="0" w:right="0" w:bottom="0" w:left="0" w:header="708" w:footer="708" w:gutter="0"/>
          <w:docGrid w:linePitch="360"/>
        </w:sectPr>
      </w:pPr>
    </w:p>
    <w:p>
      <w:pPr>
        <w:spacing w:after="360" w:before="480"/>
        <w:jc w:val="center"/>
      </w:pPr>
      <w:r>
        <w:rPr>
          <w:rFonts w:ascii="Arial" w:eastAsia="Arial" w:hAnsi="Arial"/>
          <w:b/>
          <w:bCs/>
          <w:color w:val="3B4F58"/>
          <w:sz w:val="32"/>
          <w:szCs w:val="32"/>
        </w:rPr>
        <w:t xml:space="preserve">Содержание</w:t>
      </w:r>
    </w:p>
    <w:sdt>
      <w:sdtPr>
        <w:alias w:val="TOC"/>
      </w:sdtPr>
      <w:sdtContent>
        <w:p>
          <w:pPr>
            <w:pStyle w:val="TOC1"/>
            <w:tabs>
              <w:tab w:val="right" w:pos="8788" w:leader="dot"/>
            </w:tabs>
          </w:pPr>
          <w:r>
            <w:fldChar w:fldCharType="begin" w:dirty="true"/>
          </w:r>
          <w:r>
            <w:instrText xml:space="preserve">TOC \h \o "1-1"</w:instrText>
          </w:r>
          <w:r>
            <w:fldChar w:fldCharType="separate"/>
          </w:r>
          <w:hyperlink w:history="1" w:anchor="_Toc1">
            <w:r>
              <w:t xml:space="preserve">Введение: одна версия программы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Введение: одна версия программы</w:t>
          </w:r>
          <w:r>
            <w:tab/>
          </w:r>
          <w:r>
            <w:t>1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Каркас: функция тождеств и аргументный принцип (C1–C2)</w:t>
          </w:r>
          <w:r>
            <w:tab/>
          </w:r>
          <w:r>
            <w:t>2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Затворы: универсальность без тождества (C3, C5)</w:t>
          </w:r>
          <w:r>
            <w:tab/>
          </w:r>
          <w:r>
            <w:t>4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Следовая формула Гинанда–Вейля (C4)</w:t>
          </w:r>
          <w:r>
            <w:tab/>
          </w:r>
          <w:r>
            <w:t>6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Простые в операторе: поток, ядро, лестница (C6)</w:t>
          </w:r>
          <w:r>
            <w:tab/>
          </w:r>
          <w:r>
            <w:t>7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Динамика и статистика (C7, C8)</w:t>
          </w:r>
          <w:r>
            <w:tab/>
          </w:r>
          <w:r>
            <w:t>9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C9/T11. Нелокальный примитив: след знает нули точно</w:t>
          </w:r>
          <w:r>
            <w:tab/>
          </w:r>
          <w:r>
            <w:t>11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C10/T12. Фазовое кодирование: жёсткая ко-локация и её предел</w:t>
          </w:r>
          <w:r>
            <w:tab/>
          </w:r>
          <w:r>
            <w:t>11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C11/T13. Арифметический мост: нулевые моды α = 1/3</w:t>
          </w:r>
          <w:r>
            <w:tab/>
          </w:r>
          <w:r>
            <w:t>12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C12/T14. Полоса аргумент-принципа до T = 5000</w:t>
          </w:r>
          <w:r>
            <w:tab/>
          </w:r>
          <w:r>
            <w:t>12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C13/T15 + C14/T16. Слепые семейства и таксономия аттрактора</w:t>
          </w:r>
          <w:r>
            <w:tab/>
          </w:r>
          <w:r>
            <w:t>13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C15/T17. Дирихле L-функции: разрыв универсален</w:t>
          </w:r>
          <w:r>
            <w:tab/>
          </w:r>
          <w:r>
            <w:t>13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C16/T18. Квантово-информационный слой</w:t>
          </w:r>
          <w:r>
            <w:tab/>
          </w:r>
          <w:r>
            <w:t>14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Табель Гильберта–Пойа</w:t>
          </w:r>
          <w:r>
            <w:tab/>
          </w:r>
          <w:r>
            <w:t>14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Сводка теорем T1–T18</w:t>
          </w:r>
          <w:r>
            <w:tab/>
          </w:r>
          <w:r>
            <w:t>15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Пиксельный протокол: видео как измерение</w:t>
          </w:r>
          <w:r>
            <w:tab/>
          </w:r>
          <w:r>
            <w:t>15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Окружение, детерминизм и словарь данных</w:t>
          </w:r>
          <w:r>
            <w:tab/>
          </w:r>
          <w:r>
            <w:t>17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Реестр контролей и формула цикла</w:t>
          </w:r>
          <w:r>
            <w:tab/>
          </w:r>
          <w:r>
            <w:t>18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Реестр честности: первое поколение</w:t>
          </w:r>
          <w:r>
            <w:tab/>
          </w:r>
          <w:r>
            <w:t>18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Реестр честности v2: найдено-и-исправлено</w:t>
          </w:r>
          <w:r>
            <w:tab/>
          </w:r>
          <w:r>
            <w:t>19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Дорожная карта: оператор, который кодирует нули</w:t>
          </w:r>
          <w:r>
            <w:tab/>
          </w:r>
          <w:r>
            <w:t>20</w:t>
          </w:r>
        </w:p>
        <w:p>
          <w:r>
            <w:fldChar w:fldCharType="end"/>
          </w:r>
        </w:p>
      </w:sdtContent>
    </w:sdt>
    <w:p>
      <w:pPr>
        <w:spacing w:before="200"/>
      </w:pPr>
      <w:r>
        <w:rPr>
          <w:rFonts w:ascii="Times New Roman" w:eastAsia="Times New Roman" w:hAnsi="Times New Roman"/>
          <w:i/>
          <w:iCs/>
          <w:color w:val="888888"/>
          <w:sz w:val="17"/>
          <w:szCs w:val="17"/>
        </w:rPr>
        <w:t xml:space="preserve">Примечание: оглавление построено на полях Word. После редактирования щёлкните по нему правой кнопкой и выберите «Обновить поле».</w:t>
      </w:r>
    </w:p>
    <w:p>
      <w:pPr>
        <w:sectPr>
          <w:footerReference w:type="default" r:id="rId6"/>
          <w:type w:val="nextPage"/>
          <w:pgSz w:w="11906" w:h="16838" w:orient="portrait"/>
          <w:pgMar w:top="1440" w:right="1417" w:bottom="1440" w:left="1701" w:header="708" w:footer="708" w:gutter="0"/>
          <w:pgNumType w:start="1" w:fmt="upperRoman"/>
          <w:docGrid w:linePitch="360"/>
        </w:sectPr>
      </w:pPr>
      <w:r>
        <w:br w:type="page"/>
      </w:r>
    </w:p>
    <w:p>
      <w:pPr>
        <w:spacing w:after="60" w:before="120"/>
      </w:pPr>
      <w:r>
        <w:rPr>
          <w:rFonts w:ascii="Arial" w:eastAsia="Arial" w:hAnsi="Arial"/>
          <w:b/>
          <w:bCs/>
          <w:color w:val="3B4F58"/>
          <w:sz w:val="40"/>
          <w:szCs w:val="40"/>
        </w:rPr>
        <w:t xml:space="preserve">Мост Гильберта–Пойа: каноническое изложение</w:t>
      </w:r>
    </w:p>
    <w:p>
      <w:pPr>
        <w:spacing w:after="200"/>
      </w:pPr>
      <w:r>
        <w:rPr>
          <w:rFonts w:ascii="Times New Roman" w:eastAsia="Times New Roman" w:hAnsi="Times New Roman"/>
          <w:color w:val="777E81"/>
          <w:sz w:val="19"/>
          <w:szCs w:val="19"/>
        </w:rPr>
        <w:t xml:space="preserve">Исаев Исхак Хамзатович · Независимый исследователь, Нальчик, Кабардино-Балкарская Республика · Hilbert Polya Bridge · каноническая серия · Canon</w:t>
      </w:r>
    </w:p>
    <w:p>
      <w:pPr>
        <w:pStyle w:val="Heading1"/>
        <w:spacing w:after="140" w:before="320"/>
      </w:pPr>
      <w:bookmarkStart w:name="_Toc1" w:id="1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Введение: одна версия программы</w:t>
      </w:r>
      <w:bookmarkEnd w:id="1"/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Программа Гильберта–Пойа спрашивает: существует ли самосопряжённый оператор H, спектр которого совпадает с ординатами нетривиальных нулей дзеты Римана? Пакет Hilbert Polya Bridge отвечает на этот вопрос численно и с дисциплиной честности: шестнадцать кампаний C1–C16, восемнадцать теорем T1–T18, семейство из 87 решёточных затворов, аргументный принцип до T = 5000, следовая формула Гинанда–Вейля и пиксельный протокол второго фильма. Настоящий том — каноническое изложение всего пакета в одной версии.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До сих пор серия жила в четырёх сводных томах: том теорем T1–T10, приложение протоколов воспроизведения, консолидированная монография второго поколения и том теорем T11–T18. Каноническое издание отменяет деление на поколения: теоремы T1–T18 идут единым каркасом, главы следуют порядку кампаний, и каждая цитирует одни и те же закоммиченные вердикты из data/. Ни одно число этого тома не вычислено «на месте» — всё воспроизводится кампаниями за секунды или задокументировано в реестре честности.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Метод серии неизменен с первой кампании. Каждый результат получает метку статуса — «доказано», «измерено», «конъектура», «опровергнуто» — и статус никогда не повышается. Каждый отрицательный вердикт допускается к публикации только после позитивного контроля: метод обязан видеть тождество там, где оно заведомо есть (близнецы spinor64, график против файла, окно нулей в следе). Всё самодостаточно: нули дзеты вычисляются mpmath внутри пакета, мастер-сид 96, внешние файлы данных не используются.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Как читать том. Главы 2–6 — первое поколение: каркас тождеств, счёт, затворы, следовая формула, динамика и статистика. Главы 7–13 — восемь кампаний C9–C16 и теоремы T11–T18. Далее — сводная табель, пиксельный протокол, протоколы воспроизведения, реестр честности и дорожная карта «оператор, который кодирует нули»: это цель программы, и весь том — калибровка пути к ней.</w:t>
      </w:r>
    </w:p>
    <w:p>
      <w:pPr>
        <w:spacing w:before="120"/>
        <w:jc w:val="center"/>
      </w:pPr>
      <w:r>
        <w:drawing>
          <wp:inline distT="0" distB="0" distL="0" distR="0">
            <wp:extent cx="4381500" cy="1943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194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eastAsia="Times New Roman" w:hAnsi="Times New Roman"/>
          <w:i/>
          <w:iCs/>
          <w:color w:val="777E81"/>
          <w:sz w:val="17"/>
          <w:szCs w:val="17"/>
        </w:rPr>
        <w:t xml:space="preserve">Рис. 1. Карта моста: три проекции одного разрыва Г2 и стена локальности — план всего тома.</w:t>
      </w:r>
    </w:p>
    <w:p>
      <w:pPr>
        <w:pStyle w:val="Heading1"/>
        <w:spacing w:after="140" w:before="320"/>
      </w:pPr>
      <w:bookmarkStart w:name="_Toc2" w:id="2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Каркас: функция тождеств и аргументный принцип (C1–C2)</w:t>
      </w:r>
      <w:bookmarkEnd w:id="2"/>
    </w:p>
    <w:p>
      <w:pPr>
        <w:keepNext/>
        <w:pBdr>
          <w:left w:val="single" w:color="C96F4A" w:sz="10" w:space="10"/>
        </w:pBdr>
        <w:spacing w:after="40" w:before="120"/>
        <w:ind w:left="200"/>
      </w:pPr>
      <w:r>
        <w:rPr>
          <w:rFonts w:ascii="Times New Roman" w:eastAsia="Times New Roman" w:hAnsi="Times New Roman"/>
          <w:b/>
          <w:bCs/>
          <w:color w:val="C96F4A"/>
          <w:sz w:val="21"/>
          <w:szCs w:val="21"/>
        </w:rPr>
        <w:t xml:space="preserve">T1 (Γ-замыкания) — доказано.</w:t>
      </w:r>
    </w:p>
    <w:p>
      <w:pPr>
        <w:spacing w:after="40"/>
        <w:ind w:left="200"/>
        <w:jc w:val="both"/>
      </w:pPr>
      <w:r>
        <w:rPr>
          <w:rFonts w:ascii="Times New Roman" w:eastAsia="Times New Roman" w:hAnsi="Times New Roman"/>
          <w:color w:val="222526"/>
          <w:sz w:val="20"/>
          <w:szCs w:val="20"/>
        </w:rPr>
        <w:t xml:space="preserve">|Γ(½+iu)|² = π/cosh πu; |Γ(iu)|² = π/(u·sinh πu); |Γ(¼+iu)|·|Γ(¾+iu)| = π√2/√cosh 2πu; отдельный модуль на линии элементарно не замыкается (K1, опровергнуто).</w:t>
      </w:r>
    </w:p>
    <w:p>
      <w:pPr>
        <w:spacing w:after="140"/>
        <w:ind w:left="200"/>
        <w:jc w:val="both"/>
      </w:pPr>
      <w:r>
        <w:rPr>
          <w:rFonts w:ascii="Times New Roman" w:eastAsia="Times New Roman" w:hAnsi="Times New Roman"/>
          <w:i/>
          <w:iCs/>
          <w:color w:val="222526"/>
          <w:sz w:val="19"/>
          <w:szCs w:val="19"/>
        </w:rPr>
        <w:t xml:space="preserve">Доказательство. Отражение Эйлера, удвоение Лежандра; контрпример к кандидат-форме — 0.765 при u = 1. Верификация dps = 40: 1.3–2.6e-39.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Первые две кампании строят и калибруют «графическую» ветвь программы. C1 собирает функцию тождеств Z_id(t) = e^{iθ(t)}ζ(½+it) из алгебраических замыканий Γ-каркаса и доказывает, что эта огибающая не порождает нулей сверх самой ζ: нули Z_id на [0, 200] — 79 из 79 с максимальным отклонением 2.8e-14 от эталона mpmath; на 220 точках Грама — классические 4 нарушения знака. Отрицательный ответ на вопрос «может ли фаза порождать нули» (K1, кандидат-форма опровергнута прямым вычислением: 0.765 вместо 1 при u = 1) фиксирует границу между графиком и оператором для всей серии.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C2 отвечает на вопрос счёта: число нулей в критической полосе сравнивается с числом нулей на линии аргументным принципом, без таблиц нулей. Калибровка полюса (T3) и двойное условие листа адаптивного шага Тьюринга дают согласие N_полоса = N_линия на тринадцати высотах до T = 1000: 649 = 649 с остатком до целого не более 8.3e-25; мост арифметик numpy/mpmath — |ΔN| = 2.6e-26. Зазоры ниже 1000 — [0.3104, 6.887], среднее 1.521; второй момент Σγ² согласован с формулой с отклонением 8.8e-7 после найденной и исправленной ошибки множителя (реестр честности).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Вместе C1–C2 устанавливают: вся фазовая и счётная механика серии согласована покомпонентно ниже честной границы T = 1000 — и ни один элемент графика не несёт новой арифметики. Дальше серия идёт в спектр (C3–C5), след (C4) и динамику (C7).</w:t>
      </w:r>
    </w:p>
    <w:p>
      <w:pPr>
        <w:keepNext/>
        <w:pBdr>
          <w:left w:val="single" w:color="C96F4A" w:sz="10" w:space="10"/>
        </w:pBdr>
        <w:spacing w:after="40" w:before="120"/>
        <w:ind w:left="200"/>
      </w:pPr>
      <w:r>
        <w:rPr>
          <w:rFonts w:ascii="Times New Roman" w:eastAsia="Times New Roman" w:hAnsi="Times New Roman"/>
          <w:b/>
          <w:bCs/>
          <w:color w:val="C96F4A"/>
          <w:sz w:val="21"/>
          <w:szCs w:val="21"/>
        </w:rPr>
        <w:t xml:space="preserve">T2 (вещественность Z_id) — доказано.</w:t>
      </w:r>
    </w:p>
    <w:p>
      <w:pPr>
        <w:spacing w:after="40"/>
        <w:ind w:left="200"/>
        <w:jc w:val="both"/>
      </w:pPr>
      <w:r>
        <w:rPr>
          <w:rFonts w:ascii="Times New Roman" w:eastAsia="Times New Roman" w:hAnsi="Times New Roman"/>
          <w:color w:val="222526"/>
          <w:sz w:val="20"/>
          <w:szCs w:val="20"/>
        </w:rPr>
        <w:t xml:space="preserve">Im Z_id(t) = 0 на критической линии; чётность с точностью 9.9e-29.</w:t>
      </w:r>
    </w:p>
    <w:p>
      <w:pPr>
        <w:spacing w:after="140"/>
        <w:ind w:left="200"/>
        <w:jc w:val="both"/>
      </w:pPr>
      <w:r>
        <w:rPr>
          <w:rFonts w:ascii="Times New Roman" w:eastAsia="Times New Roman" w:hAnsi="Times New Roman"/>
          <w:i/>
          <w:iCs/>
          <w:color w:val="222526"/>
          <w:sz w:val="19"/>
          <w:szCs w:val="19"/>
        </w:rPr>
        <w:t xml:space="preserve">Доказательство. ξ(½+it) ∈ ℝ (симметрия ξ(s) = ξ(1−s)), нечётность θ(t). Верификация dps = 30.</w:t>
      </w:r>
    </w:p>
    <w:p>
      <w:pPr>
        <w:keepNext/>
        <w:pBdr>
          <w:left w:val="single" w:color="C96F4A" w:sz="10" w:space="10"/>
        </w:pBdr>
        <w:spacing w:after="40" w:before="120"/>
        <w:ind w:left="200"/>
      </w:pPr>
      <w:r>
        <w:rPr>
          <w:rFonts w:ascii="Times New Roman" w:eastAsia="Times New Roman" w:hAnsi="Times New Roman"/>
          <w:b/>
          <w:bCs/>
          <w:color w:val="C96F4A"/>
          <w:sz w:val="21"/>
          <w:szCs w:val="21"/>
        </w:rPr>
        <w:t xml:space="preserve">T3 (калибровка полюса) — доказано.</w:t>
      </w:r>
    </w:p>
    <w:p>
      <w:pPr>
        <w:spacing w:after="40"/>
        <w:ind w:left="200"/>
        <w:jc w:val="both"/>
      </w:pPr>
      <w:r>
        <w:rPr>
          <w:rFonts w:ascii="Times New Roman" w:eastAsia="Times New Roman" w:hAnsi="Times New Roman"/>
          <w:color w:val="222526"/>
          <w:sz w:val="20"/>
          <w:szCs w:val="20"/>
        </w:rPr>
        <w:t xml:space="preserve">N(T) = Δarg ξ/2π без добавки +1 при обходе полюса s = 1 сверху; одиночное условие листа теряет обороты (алиасинг 2π).</w:t>
      </w:r>
    </w:p>
    <w:p>
      <w:pPr>
        <w:spacing w:after="140"/>
        <w:ind w:left="200"/>
        <w:jc w:val="both"/>
      </w:pPr>
      <w:r>
        <w:rPr>
          <w:rFonts w:ascii="Times New Roman" w:eastAsia="Times New Roman" w:hAnsi="Times New Roman"/>
          <w:i/>
          <w:iCs/>
          <w:color w:val="222526"/>
          <w:sz w:val="19"/>
          <w:szCs w:val="19"/>
        </w:rPr>
        <w:t xml:space="preserve">Доказательство. Вычет ξ'/ξ в s = 1 равен +1; полпрохода по часовой стрелке даёт −π в Δarg. Практическая верификация: якоря 0/3/10/29/79/649 и мост арифметик 2.6e-26.</w:t>
      </w:r>
    </w:p>
    <w:p>
      <w:pPr>
        <w:keepNext/>
        <w:spacing w:after="60" w:before="140"/>
      </w:pPr>
      <w:r>
        <w:rPr>
          <w:rFonts w:ascii="Times New Roman" w:eastAsia="Times New Roman" w:hAnsi="Times New Roman"/>
          <w:b/>
          <w:bCs/>
          <w:color w:val="3B4F58"/>
          <w:sz w:val="19"/>
          <w:szCs w:val="19"/>
        </w:rPr>
        <w:t xml:space="preserve">Таблица 1. Якоря аргументного принципа (фрагмент; полный список в data/c2_argument_verdict.json)</w:t>
      </w:r>
    </w:p>
    <w:tbl>
      <w:tblPr>
        <w:tblW w:type="pct" w:w="5000"/>
        <w:tblBorders>
          <w:top w:val="single" w:color="3B4F58" w:sz="4"/>
          <w:left w:val="none" w:color="auto" w:sz="0"/>
          <w:bottom w:val="single" w:color="3B4F58" w:sz="4"/>
          <w:right w:val="none" w:color="auto" w:sz="0"/>
          <w:insideH w:val="single" w:color="C7D3D9" w:sz="1"/>
          <w:insideV w:val="none" w:color="auto" w:sz="0"/>
        </w:tblBorders>
      </w:tblPr>
      <w:tblGrid>
        <w:gridCol w:w="2197"/>
        <w:gridCol w:w="2197"/>
        <w:gridCol w:w="2197"/>
        <w:gridCol w:w="2197"/>
      </w:tblGrid>
      <w:tr>
        <w:trPr>
          <w:cantSplit/>
          <w:tblHeader/>
        </w:trPr>
        <w:tc>
          <w:tcPr>
            <w:tcW w:type="pct" w:w="1250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T</w:t>
            </w:r>
          </w:p>
        </w:tc>
        <w:tc>
          <w:tcPr>
            <w:tcW w:type="pct" w:w="1250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N (полоса)</w:t>
            </w:r>
          </w:p>
        </w:tc>
        <w:tc>
          <w:tcPr>
            <w:tcW w:type="pct" w:w="1250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n на линии</w:t>
            </w:r>
          </w:p>
        </w:tc>
        <w:tc>
          <w:tcPr>
            <w:tcW w:type="pct" w:w="1250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Остаток до целого</w:t>
            </w:r>
          </w:p>
        </w:tc>
      </w:tr>
      <w:tr>
        <w:trPr>
          <w:cantSplit/>
        </w:trPr>
        <w:tc>
          <w:tcPr>
            <w:tcW w:type="pct" w:w="125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10.00</w:t>
            </w:r>
          </w:p>
        </w:tc>
        <w:tc>
          <w:tcPr>
            <w:tcW w:type="pct" w:w="125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0</w:t>
            </w:r>
          </w:p>
        </w:tc>
        <w:tc>
          <w:tcPr>
            <w:tcW w:type="pct" w:w="125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0</w:t>
            </w:r>
          </w:p>
        </w:tc>
        <w:tc>
          <w:tcPr>
            <w:tcW w:type="pct" w:w="125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5.1e-28</w:t>
            </w:r>
          </w:p>
        </w:tc>
      </w:tr>
      <w:tr>
        <w:trPr>
          <w:cantSplit/>
        </w:trPr>
        <w:tc>
          <w:tcPr>
            <w:tcW w:type="pct" w:w="125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27.72</w:t>
            </w:r>
          </w:p>
        </w:tc>
        <w:tc>
          <w:tcPr>
            <w:tcW w:type="pct" w:w="125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3</w:t>
            </w:r>
          </w:p>
        </w:tc>
        <w:tc>
          <w:tcPr>
            <w:tcW w:type="pct" w:w="125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3</w:t>
            </w:r>
          </w:p>
        </w:tc>
        <w:tc>
          <w:tcPr>
            <w:tcW w:type="pct" w:w="125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3.2e-27</w:t>
            </w:r>
          </w:p>
        </w:tc>
      </w:tr>
      <w:tr>
        <w:trPr>
          <w:cantSplit/>
        </w:trPr>
        <w:tc>
          <w:tcPr>
            <w:tcW w:type="pct" w:w="125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51.37</w:t>
            </w:r>
          </w:p>
        </w:tc>
        <w:tc>
          <w:tcPr>
            <w:tcW w:type="pct" w:w="125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10</w:t>
            </w:r>
          </w:p>
        </w:tc>
        <w:tc>
          <w:tcPr>
            <w:tcW w:type="pct" w:w="125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10</w:t>
            </w:r>
          </w:p>
        </w:tc>
        <w:tc>
          <w:tcPr>
            <w:tcW w:type="pct" w:w="125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0.0</w:t>
            </w:r>
          </w:p>
        </w:tc>
      </w:tr>
      <w:tr>
        <w:trPr>
          <w:cantSplit/>
        </w:trPr>
        <w:tc>
          <w:tcPr>
            <w:tcW w:type="pct" w:w="125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100.07</w:t>
            </w:r>
          </w:p>
        </w:tc>
        <w:tc>
          <w:tcPr>
            <w:tcW w:type="pct" w:w="125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29</w:t>
            </w:r>
          </w:p>
        </w:tc>
        <w:tc>
          <w:tcPr>
            <w:tcW w:type="pct" w:w="125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29</w:t>
            </w:r>
          </w:p>
        </w:tc>
        <w:tc>
          <w:tcPr>
            <w:tcW w:type="pct" w:w="125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0.0</w:t>
            </w:r>
          </w:p>
        </w:tc>
      </w:tr>
      <w:tr>
        <w:trPr>
          <w:cantSplit/>
        </w:trPr>
        <w:tc>
          <w:tcPr>
            <w:tcW w:type="pct" w:w="125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199.64</w:t>
            </w:r>
          </w:p>
        </w:tc>
        <w:tc>
          <w:tcPr>
            <w:tcW w:type="pct" w:w="125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79</w:t>
            </w:r>
          </w:p>
        </w:tc>
        <w:tc>
          <w:tcPr>
            <w:tcW w:type="pct" w:w="125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79</w:t>
            </w:r>
          </w:p>
        </w:tc>
        <w:tc>
          <w:tcPr>
            <w:tcW w:type="pct" w:w="125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0.0</w:t>
            </w:r>
          </w:p>
        </w:tc>
      </w:tr>
      <w:tr>
        <w:trPr>
          <w:cantSplit/>
        </w:trPr>
        <w:tc>
          <w:tcPr>
            <w:tcW w:type="pct" w:w="125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500.45</w:t>
            </w:r>
          </w:p>
        </w:tc>
        <w:tc>
          <w:tcPr>
            <w:tcW w:type="pct" w:w="125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269</w:t>
            </w:r>
          </w:p>
        </w:tc>
        <w:tc>
          <w:tcPr>
            <w:tcW w:type="pct" w:w="125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269</w:t>
            </w:r>
          </w:p>
        </w:tc>
        <w:tc>
          <w:tcPr>
            <w:tcW w:type="pct" w:w="125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4.1e-25</w:t>
            </w:r>
          </w:p>
        </w:tc>
      </w:tr>
      <w:tr>
        <w:trPr>
          <w:cantSplit/>
        </w:trPr>
        <w:tc>
          <w:tcPr>
            <w:tcW w:type="pct" w:w="125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1000.57</w:t>
            </w:r>
          </w:p>
        </w:tc>
        <w:tc>
          <w:tcPr>
            <w:tcW w:type="pct" w:w="125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649</w:t>
            </w:r>
          </w:p>
        </w:tc>
        <w:tc>
          <w:tcPr>
            <w:tcW w:type="pct" w:w="125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649</w:t>
            </w:r>
          </w:p>
        </w:tc>
        <w:tc>
          <w:tcPr>
            <w:tcW w:type="pct" w:w="125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8.3e-25</w:t>
            </w:r>
          </w:p>
        </w:tc>
      </w:tr>
    </w:tbl>
    <w:p>
      <w:pPr>
        <w:spacing w:after="120"/>
      </w:pPr>
    </w:p>
    <w:p>
      <w:pPr>
        <w:spacing w:before="120"/>
        <w:jc w:val="center"/>
      </w:pPr>
      <w:r>
        <w:drawing>
          <wp:inline distT="0" distB="0" distL="0" distR="0">
            <wp:extent cx="4381500" cy="2305050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305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eastAsia="Times New Roman" w:hAnsi="Times New Roman"/>
          <w:i/>
          <w:iCs/>
          <w:color w:val="777E81"/>
          <w:sz w:val="17"/>
          <w:szCs w:val="17"/>
        </w:rPr>
        <w:t xml:space="preserve">Рис. 1. Функция тождеств Z(t) на [0, 200]: нули бисекции (медь) и точки Грама (кольца); вертикальная линия — ось t = 0.</w:t>
      </w:r>
    </w:p>
    <w:p>
      <w:pPr>
        <w:pStyle w:val="Heading1"/>
        <w:spacing w:after="140" w:before="320"/>
      </w:pPr>
      <w:bookmarkStart w:name="_Toc3" w:id="3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Затворы: универсальность без тождества (C3, C5)</w:t>
      </w:r>
      <w:bookmarkEnd w:id="3"/>
    </w:p>
    <w:p>
      <w:pPr>
        <w:keepNext/>
        <w:pBdr>
          <w:left w:val="single" w:color="C96F4A" w:sz="10" w:space="10"/>
        </w:pBdr>
        <w:spacing w:after="40" w:before="120"/>
        <w:ind w:left="200"/>
      </w:pPr>
      <w:r>
        <w:rPr>
          <w:rFonts w:ascii="Times New Roman" w:eastAsia="Times New Roman" w:hAnsi="Times New Roman"/>
          <w:b/>
          <w:bCs/>
          <w:color w:val="C96F4A"/>
          <w:sz w:val="21"/>
          <w:szCs w:val="21"/>
        </w:rPr>
        <w:t xml:space="preserve">T7 (демаркация универсальности) — измерено.</w:t>
      </w:r>
    </w:p>
    <w:p>
      <w:pPr>
        <w:spacing w:after="40"/>
        <w:ind w:left="200"/>
        <w:jc w:val="both"/>
      </w:pPr>
      <w:r>
        <w:rPr>
          <w:rFonts w:ascii="Times New Roman" w:eastAsia="Times New Roman" w:hAnsi="Times New Roman"/>
          <w:color w:val="222526"/>
          <w:sz w:val="20"/>
          <w:szCs w:val="20"/>
        </w:rPr>
        <w:t xml:space="preserve">87 затворов (52 протокольных + 35 расширенных) лежат в GUE-классе (⟨r⟩ = 0.498–0.612) и не несут Λ-весов: r_H7 ≤ 0.226, |r_H7| ≤ 0.043 по новым ручкам, r_EF внутри нулевых облаков.</w:t>
      </w:r>
    </w:p>
    <w:p>
      <w:pPr>
        <w:spacing w:after="140"/>
        <w:ind w:left="200"/>
        <w:jc w:val="both"/>
      </w:pPr>
      <w:r>
        <w:rPr>
          <w:rFonts w:ascii="Times New Roman" w:eastAsia="Times New Roman" w:hAnsi="Times New Roman"/>
          <w:i/>
          <w:iCs/>
          <w:color w:val="222526"/>
          <w:sz w:val="19"/>
          <w:szCs w:val="19"/>
        </w:rPr>
        <w:t xml:space="preserve">Доказательство. Кампании C3–C5 с позитивными контролями PC1/PC2 (r = 1.0) и PC0 (r = 0.9998).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Кампании C3 и C5 — спектральная проекция. Вопрос Г2: существует ли затвор — конфигурация вихревого облака на решётке 24×24 с флаксом π — спектр которого тождественен спектру нулей по соответствию «уровень n ↔ нуль n»? Пространство ручек протокола (Nv, q, W, α) и шесть новых измерений C5 (твисты, анизотропия, флакс-сдвиг, масса, профиль, знаки и границы) — итого 87 конфигураций на одном мастер-сиде и одном конвейере развёртки.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Ответ измерен и отрицателен: лучший затвор даёт r_H7 = 0.226 (Бонферрони 0.80), вся расширенная семья — |r_H7| ≤ 0.043 при ⟨r⟩ = 0.500 ± 0.002 (класс GUE). Позитивные контроли показывают, что метод видит тождество, когда оно есть: близнецы spinor64 (r = 1.000000000, D_nn = 2.7e-14) и график против файла (r = 1.000000000000, D_nn = 1.2e-10). Связь «график ↔ оператор» — нулевая: лучший затвор по D_nn (0.258) неотличим от суррогатного шума (0.26 ± 0.01), пол контролей — машинная точность тождества, а не физический масштаб («порядки» на ограниченной метрике не определены; исправление v2.0.1). Универсальность GUE — аттрактор, стирающий арифметическую настройку независимо от способа её задания.</w:t>
      </w:r>
    </w:p>
    <w:p>
      <w:pPr>
        <w:keepNext/>
        <w:spacing w:after="60" w:before="140"/>
      </w:pPr>
      <w:r>
        <w:rPr>
          <w:rFonts w:ascii="Times New Roman" w:eastAsia="Times New Roman" w:hAnsi="Times New Roman"/>
          <w:b/>
          <w:bCs/>
          <w:color w:val="3B4F58"/>
          <w:sz w:val="19"/>
          <w:szCs w:val="19"/>
        </w:rPr>
        <w:t xml:space="preserve">Таблица 1. Сводка кампании C3</w:t>
      </w:r>
    </w:p>
    <w:tbl>
      <w:tblPr>
        <w:tblW w:type="pct" w:w="5000"/>
        <w:tblBorders>
          <w:top w:val="single" w:color="3B4F58" w:sz="4"/>
          <w:left w:val="none" w:color="auto" w:sz="0"/>
          <w:bottom w:val="single" w:color="3B4F58" w:sz="4"/>
          <w:right w:val="none" w:color="auto" w:sz="0"/>
          <w:insideH w:val="single" w:color="C7D3D9" w:sz="1"/>
          <w:insideV w:val="none" w:color="auto" w:sz="0"/>
        </w:tblBorders>
      </w:tblPr>
      <w:tblGrid>
        <w:gridCol w:w="2636"/>
        <w:gridCol w:w="3691"/>
        <w:gridCol w:w="2461"/>
      </w:tblGrid>
      <w:tr>
        <w:trPr>
          <w:cantSplit/>
          <w:tblHeader/>
        </w:trPr>
        <w:tc>
          <w:tcPr>
            <w:tcW w:type="pct" w:w="1500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Величина</w:t>
            </w:r>
          </w:p>
        </w:tc>
        <w:tc>
          <w:tcPr>
            <w:tcW w:type="pct" w:w="2100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Значение</w:t>
            </w:r>
          </w:p>
        </w:tc>
        <w:tc>
          <w:tcPr>
            <w:tcW w:type="pct" w:w="1400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Смысл</w:t>
            </w:r>
          </w:p>
        </w:tc>
      </w:tr>
      <w:tr>
        <w:trPr>
          <w:cantSplit/>
        </w:trPr>
        <w:tc>
          <w:tcPr>
            <w:tcW w:type="pct" w:w="15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Лучший r_H7</w:t>
            </w:r>
          </w:p>
        </w:tc>
        <w:tc>
          <w:tcPr>
            <w:tcW w:type="pct" w:w="21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0.226 (p = 0.169, Bonferroni 0.80)</w:t>
            </w:r>
          </w:p>
        </w:tc>
        <w:tc>
          <w:tcPr>
            <w:tcW w:type="pct" w:w="14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тождества нет</w:t>
            </w:r>
          </w:p>
        </w:tc>
      </w:tr>
      <w:tr>
        <w:trPr>
          <w:cantSplit/>
        </w:trPr>
        <w:tc>
          <w:tcPr>
            <w:tcW w:type="pct" w:w="15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Декуи / GUE-нуль</w:t>
            </w:r>
          </w:p>
        </w:tc>
        <w:tc>
          <w:tcPr>
            <w:tcW w:type="pct" w:w="21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0.026±0.140 / −0.014±0.127</w:t>
            </w:r>
          </w:p>
        </w:tc>
        <w:tc>
          <w:tcPr>
            <w:tcW w:type="pct" w:w="14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нулевые зоны</w:t>
            </w:r>
          </w:p>
        </w:tc>
      </w:tr>
      <w:tr>
        <w:trPr>
          <w:cantSplit/>
        </w:trPr>
        <w:tc>
          <w:tcPr>
            <w:tcW w:type="pct" w:w="15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PC1 близнецы spinor64</w:t>
            </w:r>
          </w:p>
        </w:tc>
        <w:tc>
          <w:tcPr>
            <w:tcW w:type="pct" w:w="21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r = 1.000000000, D_nn = 2.7e-14</w:t>
            </w:r>
          </w:p>
        </w:tc>
        <w:tc>
          <w:tcPr>
            <w:tcW w:type="pct" w:w="14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метод видит тождество</w:t>
            </w:r>
          </w:p>
        </w:tc>
      </w:tr>
      <w:tr>
        <w:trPr>
          <w:cantSplit/>
        </w:trPr>
        <w:tc>
          <w:tcPr>
            <w:tcW w:type="pct" w:w="15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PC2 график Z_id ↔ файл</w:t>
            </w:r>
          </w:p>
        </w:tc>
        <w:tc>
          <w:tcPr>
            <w:tcW w:type="pct" w:w="21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r = 1.000000000000, D_nn = 1.2e-10</w:t>
            </w:r>
          </w:p>
        </w:tc>
        <w:tc>
          <w:tcPr>
            <w:tcW w:type="pct" w:w="14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метод видит тождество</w:t>
            </w:r>
          </w:p>
        </w:tc>
      </w:tr>
      <w:tr>
        <w:trPr>
          <w:cantSplit/>
        </w:trPr>
        <w:tc>
          <w:tcPr>
            <w:tcW w:type="pct" w:w="15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Связь график↔оператор</w:t>
            </w:r>
          </w:p>
        </w:tc>
        <w:tc>
          <w:tcPr>
            <w:tcW w:type="pct" w:w="21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нулевая — D_nn на уровне суррогата</w:t>
            </w:r>
          </w:p>
        </w:tc>
        <w:tc>
          <w:tcPr>
            <w:tcW w:type="pct" w:w="14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главный отрицательный результат серии</w:t>
            </w:r>
          </w:p>
        </w:tc>
      </w:tr>
    </w:tbl>
    <w:p>
      <w:pPr>
        <w:spacing w:after="120"/>
      </w:pPr>
    </w:p>
    <w:p>
      <w:pPr>
        <w:spacing w:before="120"/>
        <w:jc w:val="center"/>
      </w:pPr>
      <w:r>
        <w:drawing>
          <wp:inline distT="0" distB="0" distL="0" distR="0">
            <wp:extent cx="4381500" cy="1990725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199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eastAsia="Times New Roman" w:hAnsi="Times New Roman"/>
          <w:i/>
          <w:iCs/>
          <w:color w:val="777E81"/>
          <w:sz w:val="17"/>
          <w:szCs w:val="17"/>
        </w:rPr>
        <w:t xml:space="preserve">Рис. 1. |r_H7| по 37 расширенным затворам: золотая линия — лучший протокольный 0.226, медная — позитивные контроли 1.000; красные столбцы — декуи.</w:t>
      </w:r>
    </w:p>
    <w:p>
      <w:pPr>
        <w:pStyle w:val="Heading1"/>
        <w:spacing w:after="140" w:before="320"/>
      </w:pPr>
      <w:bookmarkStart w:name="_Toc4" w:id="4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Следовая формула Гинанда–Вейля (C4)</w:t>
      </w:r>
      <w:bookmarkEnd w:id="4"/>
    </w:p>
    <w:p>
      <w:pPr>
        <w:keepNext/>
        <w:pBdr>
          <w:left w:val="single" w:color="C96F4A" w:sz="10" w:space="10"/>
        </w:pBdr>
        <w:spacing w:after="40" w:before="120"/>
        <w:ind w:left="200"/>
      </w:pPr>
      <w:r>
        <w:rPr>
          <w:rFonts w:ascii="Times New Roman" w:eastAsia="Times New Roman" w:hAnsi="Times New Roman"/>
          <w:b/>
          <w:bCs/>
          <w:color w:val="C96F4A"/>
          <w:sz w:val="21"/>
          <w:szCs w:val="21"/>
        </w:rPr>
        <w:t xml:space="preserve">T6 (следовая формула H_ξ) — доказано и верифицировано.</w:t>
      </w:r>
    </w:p>
    <w:p>
      <w:pPr>
        <w:spacing w:after="40"/>
        <w:ind w:left="200"/>
        <w:jc w:val="both"/>
      </w:pPr>
      <w:r>
        <w:rPr>
          <w:rFonts w:ascii="Times New Roman" w:eastAsia="Times New Roman" w:hAnsi="Times New Roman"/>
          <w:color w:val="222526"/>
          <w:sz w:val="20"/>
          <w:szCs w:val="20"/>
        </w:rPr>
        <w:t xml:space="preserve">Q(a) = ζ'/ζ(½+a) + 1/(½+a) + 1/(a−½) − ½lnπ + ½ψ(¼+a/2) − B − C₀ с B = ½ln(4π)−1−γ/2 = −C₀; K(x) = Tr e^{−xH_ξ} = (1/π)∫₀^∞ Q(a)sin(ax)da; при a &gt; ½ ζ-ряд вносит вес Λ(n)/√n.</w:t>
      </w:r>
    </w:p>
    <w:p>
      <w:pPr>
        <w:spacing w:after="140"/>
        <w:ind w:left="200"/>
        <w:jc w:val="both"/>
      </w:pPr>
      <w:r>
        <w:rPr>
          <w:rFonts w:ascii="Times New Roman" w:eastAsia="Times New Roman" w:hAnsi="Times New Roman"/>
          <w:i/>
          <w:iCs/>
          <w:color w:val="222526"/>
          <w:sz w:val="19"/>
          <w:szCs w:val="19"/>
        </w:rPr>
        <w:t xml:space="preserve">Доказательство. Произведение Адамара + тождество 2a/(a²+γ²) = 2∫e^{−γt}sin(at)dt. Верификация: |ΔQ| ≤ 1.7e-12 (M0), |ΔK| ≤ 1.2e-5 (M1).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C4 — третья проекция разрыва и главный положительный результат первого поколения. Для гипотетического оператора Гильберта–Пойа тепловой след обязан нести вес простых. Теорема T6 делает это точным: Q(a) = ζ'/ζ(½+a) + ... − B − C₀ с B = ½ln(4π) − 1 − γ/2 = −C₀, и K(x) = Tr e^{−xH_ξ} = (1/π)∫Q(a)sin(ax)da с весом Λ(n)/√n при a &gt; ½. Тождество калибровано (M0: |ΔQ| ≤ 1.7e-12 на файле 2 001 052 нулей с аналитическим хвостом), следовая формула верифицирована (M1: |ΔK| ≤ 1.2e-5).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Для затворов та же механика даёт нулевые зоны: позитивный контроль PC0 (окно из самих нулей) — r_EF = +0.9998 с остатком 2.1%, затворы — ниже суррогатного нуля ±0.39, лучший относительный остаток 6.7%. Разрыв ≈ 0.5 порядка в тепловой метрике — метрика консервативна. Итог: вес простых доказательно живёт в следе нулевого оператора и доказательно отсутствует в следах всех затворов; гипотетический HP-оператор, если существует, обязан быть нелокальным.</w:t>
      </w:r>
    </w:p>
    <w:p>
      <w:pPr>
        <w:keepNext/>
        <w:spacing w:after="60" w:before="140"/>
      </w:pPr>
      <w:r>
        <w:rPr>
          <w:rFonts w:ascii="Times New Roman" w:eastAsia="Times New Roman" w:hAnsi="Times New Roman"/>
          <w:b/>
          <w:bCs/>
          <w:color w:val="3B4F58"/>
          <w:sz w:val="19"/>
          <w:szCs w:val="19"/>
        </w:rPr>
        <w:t xml:space="preserve">Таблица 1. Сводка кампании C4</w:t>
      </w:r>
    </w:p>
    <w:tbl>
      <w:tblPr>
        <w:tblW w:type="pct" w:w="5000"/>
        <w:tblBorders>
          <w:top w:val="single" w:color="3B4F58" w:sz="4"/>
          <w:left w:val="none" w:color="auto" w:sz="0"/>
          <w:bottom w:val="single" w:color="3B4F58" w:sz="4"/>
          <w:right w:val="none" w:color="auto" w:sz="0"/>
          <w:insideH w:val="single" w:color="C7D3D9" w:sz="1"/>
          <w:insideV w:val="none" w:color="auto" w:sz="0"/>
        </w:tblBorders>
      </w:tblPr>
      <w:tblGrid>
        <w:gridCol w:w="2285"/>
        <w:gridCol w:w="3691"/>
        <w:gridCol w:w="2812"/>
      </w:tblGrid>
      <w:tr>
        <w:trPr>
          <w:cantSplit/>
          <w:tblHeader/>
        </w:trPr>
        <w:tc>
          <w:tcPr>
            <w:tcW w:type="pct" w:w="1300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Блок</w:t>
            </w:r>
          </w:p>
        </w:tc>
        <w:tc>
          <w:tcPr>
            <w:tcW w:type="pct" w:w="2100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Величина</w:t>
            </w:r>
          </w:p>
        </w:tc>
        <w:tc>
          <w:tcPr>
            <w:tcW w:type="pct" w:w="1600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Вердикт</w:t>
            </w:r>
          </w:p>
        </w:tc>
      </w:tr>
      <w:tr>
        <w:trPr>
          <w:cantSplit/>
        </w:trPr>
        <w:tc>
          <w:tcPr>
            <w:tcW w:type="pct" w:w="13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M0</w:t>
            </w:r>
          </w:p>
        </w:tc>
        <w:tc>
          <w:tcPr>
            <w:tcW w:type="pct" w:w="21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|ΔQ| ≤ 1.7e-12</w:t>
            </w:r>
          </w:p>
        </w:tc>
        <w:tc>
          <w:tcPr>
            <w:tcW w:type="pct" w:w="16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тождество калибровано</w:t>
            </w:r>
          </w:p>
        </w:tc>
      </w:tr>
      <w:tr>
        <w:trPr>
          <w:cantSplit/>
        </w:trPr>
        <w:tc>
          <w:tcPr>
            <w:tcW w:type="pct" w:w="13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M1</w:t>
            </w:r>
          </w:p>
        </w:tc>
        <w:tc>
          <w:tcPr>
            <w:tcW w:type="pct" w:w="21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|ΔK| ≤ 1.2e-5 (абс.)</w:t>
            </w:r>
          </w:p>
        </w:tc>
        <w:tc>
          <w:tcPr>
            <w:tcW w:type="pct" w:w="16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T6 верифицирована</w:t>
            </w:r>
          </w:p>
        </w:tc>
      </w:tr>
      <w:tr>
        <w:trPr>
          <w:cantSplit/>
        </w:trPr>
        <w:tc>
          <w:tcPr>
            <w:tcW w:type="pct" w:w="13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PC0 (окно нулей)</w:t>
            </w:r>
          </w:p>
        </w:tc>
        <w:tc>
          <w:tcPr>
            <w:tcW w:type="pct" w:w="21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r = +0.9998, остаток 2.1%</w:t>
            </w:r>
          </w:p>
        </w:tc>
        <w:tc>
          <w:tcPr>
            <w:tcW w:type="pct" w:w="16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метод видит вес простых</w:t>
            </w:r>
          </w:p>
        </w:tc>
      </w:tr>
      <w:tr>
        <w:trPr>
          <w:cantSplit/>
        </w:trPr>
        <w:tc>
          <w:tcPr>
            <w:tcW w:type="pct" w:w="13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52 затвора</w:t>
            </w:r>
          </w:p>
        </w:tc>
        <w:tc>
          <w:tcPr>
            <w:tcW w:type="pct" w:w="21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r_EF −0.9…+0.98, нулевая зона</w:t>
            </w:r>
          </w:p>
        </w:tc>
        <w:tc>
          <w:tcPr>
            <w:tcW w:type="pct" w:w="16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веса простых нет</w:t>
            </w:r>
          </w:p>
        </w:tc>
      </w:tr>
      <w:tr>
        <w:trPr>
          <w:cantSplit/>
        </w:trPr>
        <w:tc>
          <w:tcPr>
            <w:tcW w:type="pct" w:w="13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Разрыв (следовая метрика)</w:t>
            </w:r>
          </w:p>
        </w:tc>
        <w:tc>
          <w:tcPr>
            <w:tcW w:type="pct" w:w="21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≈ 0.5 порядка по невязке</w:t>
            </w:r>
          </w:p>
        </w:tc>
        <w:tc>
          <w:tcPr>
            <w:tcW w:type="pct" w:w="16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Г2 — НЕТ, измерено</w:t>
            </w:r>
          </w:p>
        </w:tc>
      </w:tr>
      <w:tr>
        <w:trPr>
          <w:cantSplit/>
        </w:trPr>
        <w:tc>
          <w:tcPr>
            <w:tcW w:type="pct" w:w="13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Воспроизведение C3</w:t>
            </w:r>
          </w:p>
        </w:tc>
        <w:tc>
          <w:tcPr>
            <w:tcW w:type="pct" w:w="21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|Δmean_spacing| = 1.4e-16</w:t>
            </w:r>
          </w:p>
        </w:tc>
        <w:tc>
          <w:tcPr>
            <w:tcW w:type="pct" w:w="16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бит-в-бит</w:t>
            </w:r>
          </w:p>
        </w:tc>
      </w:tr>
    </w:tbl>
    <w:p>
      <w:pPr>
        <w:spacing w:after="120"/>
      </w:pPr>
    </w:p>
    <w:p>
      <w:pPr>
        <w:spacing w:before="120"/>
        <w:jc w:val="center"/>
      </w:pPr>
      <w:r>
        <w:drawing>
          <wp:inline distT="0" distB="0" distL="0" distR="0">
            <wp:extent cx="4381500" cy="2438400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43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eastAsia="Times New Roman" w:hAnsi="Times New Roman"/>
          <w:i/>
          <w:iCs/>
          <w:color w:val="777E81"/>
          <w:sz w:val="17"/>
          <w:szCs w:val="17"/>
        </w:rPr>
        <w:t xml:space="preserve">Рис. 1. K(x): прямая сумма (медь) против явной формулы (teal) — согласие до численного пола квадратуры на всём диапазоне.</w:t>
      </w:r>
    </w:p>
    <w:p>
      <w:pPr>
        <w:spacing w:before="120"/>
        <w:jc w:val="center"/>
      </w:pPr>
      <w:r>
        <w:drawing>
          <wp:inline distT="0" distB="0" distL="0" distR="0">
            <wp:extent cx="4381500" cy="2190750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19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eastAsia="Times New Roman" w:hAnsi="Times New Roman"/>
          <w:i/>
          <w:iCs/>
          <w:color w:val="777E81"/>
          <w:sz w:val="17"/>
          <w:szCs w:val="17"/>
        </w:rPr>
        <w:t xml:space="preserve">Рис. 3. r_EF по 52 затворам: серая полоса — суррогатный нуль ±0.39, медная линия — PC0 +0.9998.</w:t>
      </w:r>
    </w:p>
    <w:p>
      <w:pPr>
        <w:pStyle w:val="Heading1"/>
        <w:spacing w:after="140" w:before="320"/>
      </w:pPr>
      <w:bookmarkStart w:name="_Toc5" w:id="5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Простые в операторе: поток, ядро, лестница (C6)</w:t>
      </w:r>
      <w:bookmarkEnd w:id="5"/>
    </w:p>
    <w:p>
      <w:pPr>
        <w:keepNext/>
        <w:pBdr>
          <w:left w:val="single" w:color="C96F4A" w:sz="10" w:space="10"/>
        </w:pBdr>
        <w:spacing w:after="40" w:before="120"/>
        <w:ind w:left="200"/>
      </w:pPr>
      <w:r>
        <w:rPr>
          <w:rFonts w:ascii="Times New Roman" w:eastAsia="Times New Roman" w:hAnsi="Times New Roman"/>
          <w:b/>
          <w:bCs/>
          <w:color w:val="C96F4A"/>
          <w:sz w:val="21"/>
          <w:szCs w:val="21"/>
        </w:rPr>
        <w:t xml:space="preserve">T4 (ко-локация) — доказано.</w:t>
      </w:r>
    </w:p>
    <w:p>
      <w:pPr>
        <w:spacing w:after="40"/>
        <w:ind w:left="200"/>
        <w:jc w:val="both"/>
      </w:pPr>
      <w:r>
        <w:rPr>
          <w:rFonts w:ascii="Times New Roman" w:eastAsia="Times New Roman" w:hAnsi="Times New Roman"/>
          <w:color w:val="222526"/>
          <w:sz w:val="20"/>
          <w:szCs w:val="20"/>
        </w:rPr>
        <w:t xml:space="preserve">(Φ_p, Φ_q) ≡ Φ_pq при Φ_p = ½ln p; max|ΔE| = 1.35e-14.</w:t>
      </w:r>
    </w:p>
    <w:p>
      <w:pPr>
        <w:spacing w:after="140"/>
        <w:ind w:left="200"/>
        <w:jc w:val="both"/>
      </w:pPr>
      <w:r>
        <w:rPr>
          <w:rFonts w:ascii="Times New Roman" w:eastAsia="Times New Roman" w:hAnsi="Times New Roman"/>
          <w:i/>
          <w:iCs/>
          <w:color w:val="222526"/>
          <w:sz w:val="19"/>
          <w:szCs w:val="19"/>
        </w:rPr>
        <w:t xml:space="preserve">Доказательство. Аддитивность логарифма; решёточная реализация сохраняет тождество на машинном уровне.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C6 ищет арифметику простых в фазовом слое. Поток Φ_p = ½ln p композитит точно — теорема T4: (Φ_p, Φ_q) ≡ Φ_pq с max|ΔE| = 1.35e-14. Ядро разрешения короткодействующее (T5): насыщение ~2e-2 при d ≈ 4–6, мультипликативность локализована в 2–3 ячейках, линейная аппроксимация ядро разрушает. Лестница ψ по первым 200 нулям согласована с ситом фон Мангольдта до 10⁶ с корреляцией +0.972 — а у затворов +0.24/+0.13/+0.09/−0.12, нулевая зона (Г5 — НЕТ, измерено).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Четыре кодировки потока в позициях вихрей дают один GUE-класс (⟨r⟩ = 0.585–0.611): универсальность стирает арифметическое содержание фазы надёжнее, чем любое измерение. Вывод кампании: простые закодированы в структуре нулей; честная кодировка обязана предъявлять себя в потоке (T4) и в лестнице (M2), а не в статистике уровня; путь к оператору лежит через порождение арифметики, а не через её копирование.</w:t>
      </w:r>
    </w:p>
    <w:p>
      <w:pPr>
        <w:keepNext/>
        <w:pBdr>
          <w:left w:val="single" w:color="C96F4A" w:sz="10" w:space="10"/>
        </w:pBdr>
        <w:spacing w:after="40" w:before="120"/>
        <w:ind w:left="200"/>
      </w:pPr>
      <w:r>
        <w:rPr>
          <w:rFonts w:ascii="Times New Roman" w:eastAsia="Times New Roman" w:hAnsi="Times New Roman"/>
          <w:b/>
          <w:bCs/>
          <w:color w:val="C96F4A"/>
          <w:sz w:val="21"/>
          <w:szCs w:val="21"/>
        </w:rPr>
        <w:t xml:space="preserve">T5 (ядро разрешения) — измерено.</w:t>
      </w:r>
    </w:p>
    <w:p>
      <w:pPr>
        <w:spacing w:after="40"/>
        <w:ind w:left="200"/>
        <w:jc w:val="both"/>
      </w:pPr>
      <w:r>
        <w:rPr>
          <w:rFonts w:ascii="Times New Roman" w:eastAsia="Times New Roman" w:hAnsi="Times New Roman"/>
          <w:color w:val="222526"/>
          <w:sz w:val="20"/>
          <w:szCs w:val="20"/>
        </w:rPr>
        <w:t xml:space="preserve">Отклик композитного узла δ(d): 0 → 3.2e-3 (d = 0.5) → 1.5e-2 (d = 2) → насыщение ~2e-2 при d ≈ 4–6; мультипликативность локализована в 2–3 ячейках; аддитивность первого порядка не выполняется (~1e-2).</w:t>
      </w:r>
    </w:p>
    <w:p>
      <w:pPr>
        <w:spacing w:after="140"/>
        <w:ind w:left="200"/>
        <w:jc w:val="both"/>
      </w:pPr>
      <w:r>
        <w:rPr>
          <w:rFonts w:ascii="Times New Roman" w:eastAsia="Times New Roman" w:hAnsi="Times New Roman"/>
          <w:i/>
          <w:iCs/>
          <w:color w:val="222526"/>
          <w:sz w:val="19"/>
          <w:szCs w:val="19"/>
        </w:rPr>
        <w:t xml:space="preserve">Доказательство. Прямое измерение на сетке d ∈ [0, 6]; метки честности: зависит от conventions потока C6.</w:t>
      </w:r>
    </w:p>
    <w:p>
      <w:pPr>
        <w:keepNext/>
        <w:spacing w:after="60" w:before="140"/>
      </w:pPr>
      <w:r>
        <w:rPr>
          <w:rFonts w:ascii="Times New Roman" w:eastAsia="Times New Roman" w:hAnsi="Times New Roman"/>
          <w:b/>
          <w:bCs/>
          <w:color w:val="3B4F58"/>
          <w:sz w:val="19"/>
          <w:szCs w:val="19"/>
        </w:rPr>
        <w:t xml:space="preserve">Таблица 1. M2: корреляции ψ-лестницы</w:t>
      </w:r>
    </w:p>
    <w:tbl>
      <w:tblPr>
        <w:tblW w:type="pct" w:w="5000"/>
        <w:tblBorders>
          <w:top w:val="single" w:color="3B4F58" w:sz="4"/>
          <w:left w:val="none" w:color="auto" w:sz="0"/>
          <w:bottom w:val="single" w:color="3B4F58" w:sz="4"/>
          <w:right w:val="none" w:color="auto" w:sz="0"/>
          <w:insideH w:val="single" w:color="C7D3D9" w:sz="1"/>
          <w:insideV w:val="none" w:color="auto" w:sz="0"/>
        </w:tblBorders>
      </w:tblPr>
      <w:tblGrid>
        <w:gridCol w:w="3867"/>
        <w:gridCol w:w="2285"/>
        <w:gridCol w:w="2636"/>
      </w:tblGrid>
      <w:tr>
        <w:trPr>
          <w:cantSplit/>
          <w:tblHeader/>
        </w:trPr>
        <w:tc>
          <w:tcPr>
            <w:tcW w:type="pct" w:w="2200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Объект</w:t>
            </w:r>
          </w:p>
        </w:tc>
        <w:tc>
          <w:tcPr>
            <w:tcW w:type="pct" w:w="1300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corr с ситом</w:t>
            </w:r>
          </w:p>
        </w:tc>
        <w:tc>
          <w:tcPr>
            <w:tcW w:type="pct" w:w="1500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Зона</w:t>
            </w:r>
          </w:p>
        </w:tc>
      </w:tr>
      <w:tr>
        <w:trPr>
          <w:cantSplit/>
        </w:trPr>
        <w:tc>
          <w:tcPr>
            <w:tcW w:type="pct" w:w="22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Эталон: первые 200 нулей</w:t>
            </w:r>
          </w:p>
        </w:tc>
        <w:tc>
          <w:tcPr>
            <w:tcW w:type="pct" w:w="13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+0.972</w:t>
            </w:r>
          </w:p>
        </w:tc>
        <w:tc>
          <w:tcPr>
            <w:tcW w:type="pct" w:w="15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тождество (вес простых)</w:t>
            </w:r>
          </w:p>
        </w:tc>
      </w:tr>
      <w:tr>
        <w:trPr>
          <w:cantSplit/>
        </w:trPr>
        <w:tc>
          <w:tcPr>
            <w:tcW w:type="pct" w:w="22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Лучший затвор (Nv=16)</w:t>
            </w:r>
          </w:p>
        </w:tc>
        <w:tc>
          <w:tcPr>
            <w:tcW w:type="pct" w:w="13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+0.239</w:t>
            </w:r>
          </w:p>
        </w:tc>
        <w:tc>
          <w:tcPr>
            <w:tcW w:type="pct" w:w="15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нулевая зона</w:t>
            </w:r>
          </w:p>
        </w:tc>
      </w:tr>
      <w:tr>
        <w:trPr>
          <w:cantSplit/>
        </w:trPr>
        <w:tc>
          <w:tcPr>
            <w:tcW w:type="pct" w:w="22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Nv=32</w:t>
            </w:r>
          </w:p>
        </w:tc>
        <w:tc>
          <w:tcPr>
            <w:tcW w:type="pct" w:w="13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+0.133</w:t>
            </w:r>
          </w:p>
        </w:tc>
        <w:tc>
          <w:tcPr>
            <w:tcW w:type="pct" w:w="15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нулевая зона</w:t>
            </w:r>
          </w:p>
        </w:tc>
      </w:tr>
      <w:tr>
        <w:trPr>
          <w:cantSplit/>
        </w:trPr>
        <w:tc>
          <w:tcPr>
            <w:tcW w:type="pct" w:w="22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Чистая решётка</w:t>
            </w:r>
          </w:p>
        </w:tc>
        <w:tc>
          <w:tcPr>
            <w:tcW w:type="pct" w:w="13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−0.116</w:t>
            </w:r>
          </w:p>
        </w:tc>
        <w:tc>
          <w:tcPr>
            <w:tcW w:type="pct" w:w="15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нулевая зона</w:t>
            </w:r>
          </w:p>
        </w:tc>
      </w:tr>
      <w:tr>
        <w:trPr>
          <w:cantSplit/>
        </w:trPr>
        <w:tc>
          <w:tcPr>
            <w:tcW w:type="pct" w:w="22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GUE-нуль (12 реализаций)</w:t>
            </w:r>
          </w:p>
        </w:tc>
        <w:tc>
          <w:tcPr>
            <w:tcW w:type="pct" w:w="13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+0.154±0.197</w:t>
            </w:r>
          </w:p>
        </w:tc>
        <w:tc>
          <w:tcPr>
            <w:tcW w:type="pct" w:w="15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нулевая зона</w:t>
            </w:r>
          </w:p>
        </w:tc>
      </w:tr>
    </w:tbl>
    <w:p>
      <w:pPr>
        <w:spacing w:after="120"/>
      </w:pPr>
    </w:p>
    <w:p>
      <w:pPr>
        <w:spacing w:before="120"/>
        <w:jc w:val="center"/>
      </w:pPr>
      <w:r>
        <w:drawing>
          <wp:inline distT="0" distB="0" distL="0" distR="0">
            <wp:extent cx="4381500" cy="2371725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371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eastAsia="Times New Roman" w:hAnsi="Times New Roman"/>
          <w:i/>
          <w:iCs/>
          <w:color w:val="777E81"/>
          <w:sz w:val="17"/>
          <w:szCs w:val="17"/>
        </w:rPr>
        <w:t xml:space="preserve">Рис. 2. ψ(x): сито фон Мангольдта (teal, толстая) против лестницы по 200 нулям (медь, пунктир); корреляция 0.972.</w:t>
      </w:r>
    </w:p>
    <w:p>
      <w:pPr>
        <w:pStyle w:val="Heading1"/>
        <w:spacing w:after="140" w:before="320"/>
      </w:pPr>
      <w:bookmarkStart w:name="_Toc6" w:id="6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Динамика и статистика (C7, C8)</w:t>
      </w:r>
      <w:bookmarkEnd w:id="6"/>
    </w:p>
    <w:p>
      <w:pPr>
        <w:keepNext/>
        <w:pBdr>
          <w:left w:val="single" w:color="C96F4A" w:sz="10" w:space="10"/>
        </w:pBdr>
        <w:spacing w:after="40" w:before="120"/>
        <w:ind w:left="200"/>
      </w:pPr>
      <w:r>
        <w:rPr>
          <w:rFonts w:ascii="Times New Roman" w:eastAsia="Times New Roman" w:hAnsi="Times New Roman"/>
          <w:b/>
          <w:bCs/>
          <w:color w:val="C96F4A"/>
          <w:sz w:val="21"/>
          <w:szCs w:val="21"/>
        </w:rPr>
        <w:t xml:space="preserve">T8 (редукция 64→4) — доказано.</w:t>
      </w:r>
    </w:p>
    <w:p>
      <w:pPr>
        <w:spacing w:after="40"/>
        <w:ind w:left="200"/>
        <w:jc w:val="both"/>
      </w:pPr>
      <w:r>
        <w:rPr>
          <w:rFonts w:ascii="Times New Roman" w:eastAsia="Times New Roman" w:hAnsi="Times New Roman"/>
          <w:color w:val="222526"/>
          <w:sz w:val="20"/>
          <w:szCs w:val="20"/>
        </w:rPr>
        <w:t xml:space="preserve">Спин-структуры E2 сводятся к 4 гамильтонианам по парам (φx, φy) mod 2π; изоспектральность внутри классов 1.1e-14.</w:t>
      </w:r>
    </w:p>
    <w:p>
      <w:pPr>
        <w:spacing w:after="140"/>
        <w:ind w:left="200"/>
        <w:jc w:val="both"/>
      </w:pPr>
      <w:r>
        <w:rPr>
          <w:rFonts w:ascii="Times New Roman" w:eastAsia="Times New Roman" w:hAnsi="Times New Roman"/>
          <w:i/>
          <w:iCs/>
          <w:color w:val="222526"/>
          <w:sz w:val="19"/>
          <w:szCs w:val="19"/>
        </w:rPr>
        <w:t xml:space="preserve">Доказательство. Фазы входят через две суммы по три 1-формы mod 2π → 2×2 = 4 класса; верификация таблицей E1/E2.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C7 — динамическое измерение: на самодуальной линии α = ½ решётка действительно ведёт себя как дискретизированное безмассовое уравнение Дирака (Г4 — ДА): когерентный пакет, отражение от границ, сохранение энергии 1e-15. ζ-облако почти прозрачно (Nv = 16 не тормозит), направляет транспорт: P(x ≥ 90) у ζ-облака в 16 раз выше случайного (0.0032 против 0.0002) — динамическое лицо парных корреляций Монтгомери. Отождествление линии α = ½ с Re(s) = ½ остаётся конъектурой: статистическая поддержка есть, тождества — нет.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C8 фиксирует статистическую рамку (T10): класс задаётся симметрией — чистая решётка Пуассон, вещественный беспорядок GOE, комплексные вихри GUE (⟨r⟩ = 0.597–0.612), сильный беспорядок — андерсоновский Пуассон; GSE архитектурно недостижима (T² = +1). Редукция T8: 64 спин-структуры схлопываются в 4 гамильтониана по парам (φx, φy) с изоспектральностью 1.1e-14 — дискретные фазы несут универсальный класс, а не арифметику. Всё, что претендует на арифметику, обязано предъявлять её вне статистики — в тождествах потока, в счёте или в следе.</w:t>
      </w:r>
    </w:p>
    <w:p>
      <w:pPr>
        <w:keepNext/>
        <w:pBdr>
          <w:left w:val="single" w:color="C96F4A" w:sz="10" w:space="10"/>
        </w:pBdr>
        <w:spacing w:after="40" w:before="120"/>
        <w:ind w:left="200"/>
      </w:pPr>
      <w:r>
        <w:rPr>
          <w:rFonts w:ascii="Times New Roman" w:eastAsia="Times New Roman" w:hAnsi="Times New Roman"/>
          <w:b/>
          <w:bCs/>
          <w:color w:val="C96F4A"/>
          <w:sz w:val="21"/>
          <w:szCs w:val="21"/>
        </w:rPr>
        <w:t xml:space="preserve">T9 (нулевые моды α = 1/3) — измерено.</w:t>
      </w:r>
    </w:p>
    <w:p>
      <w:pPr>
        <w:spacing w:after="40"/>
        <w:ind w:left="200"/>
        <w:jc w:val="both"/>
      </w:pPr>
      <w:r>
        <w:rPr>
          <w:rFonts w:ascii="Times New Roman" w:eastAsia="Times New Roman" w:hAnsi="Times New Roman"/>
          <w:color w:val="222526"/>
          <w:sz w:val="20"/>
          <w:szCs w:val="20"/>
        </w:rPr>
        <w:t xml:space="preserve">На фрустрированных торах L ≡ 0 (mod 4) чистая решётка с α = 1/3 имеет точные нулевые моды: 18 при L = 12, 42 при L = 24.</w:t>
      </w:r>
    </w:p>
    <w:p>
      <w:pPr>
        <w:spacing w:after="140"/>
        <w:ind w:left="200"/>
        <w:jc w:val="both"/>
      </w:pPr>
      <w:r>
        <w:rPr>
          <w:rFonts w:ascii="Times New Roman" w:eastAsia="Times New Roman" w:hAnsi="Times New Roman"/>
          <w:i/>
          <w:iCs/>
          <w:color w:val="222526"/>
          <w:sz w:val="19"/>
          <w:szCs w:val="19"/>
        </w:rPr>
        <w:t xml:space="preserve">Доказательство. Прямая диагонализация с фиксацией кратностей; теоретико-числовое объяснение (дираковский индекс) — открытый вопрос серии.</w:t>
      </w:r>
    </w:p>
    <w:p>
      <w:pPr>
        <w:keepNext/>
        <w:pBdr>
          <w:left w:val="single" w:color="C96F4A" w:sz="10" w:space="10"/>
        </w:pBdr>
        <w:spacing w:after="40" w:before="120"/>
        <w:ind w:left="200"/>
      </w:pPr>
      <w:r>
        <w:rPr>
          <w:rFonts w:ascii="Times New Roman" w:eastAsia="Times New Roman" w:hAnsi="Times New Roman"/>
          <w:b/>
          <w:bCs/>
          <w:color w:val="C96F4A"/>
          <w:sz w:val="21"/>
          <w:szCs w:val="21"/>
        </w:rPr>
        <w:t xml:space="preserve">T10 (лестница статистик) — измерено.</w:t>
      </w:r>
    </w:p>
    <w:p>
      <w:pPr>
        <w:spacing w:after="40"/>
        <w:ind w:left="200"/>
        <w:jc w:val="both"/>
      </w:pPr>
      <w:r>
        <w:rPr>
          <w:rFonts w:ascii="Times New Roman" w:eastAsia="Times New Roman" w:hAnsi="Times New Roman"/>
          <w:color w:val="222526"/>
          <w:sz w:val="20"/>
          <w:szCs w:val="20"/>
        </w:rPr>
        <w:t xml:space="preserve">Пуассон/GOE/GUE управляются симметрией (фрустрация/вещественный беспорядок/комплексные вихри); GSE структурно недостижима (T² = +1).</w:t>
      </w:r>
    </w:p>
    <w:p>
      <w:pPr>
        <w:spacing w:after="140"/>
        <w:ind w:left="200"/>
        <w:jc w:val="both"/>
      </w:pPr>
      <w:r>
        <w:rPr>
          <w:rFonts w:ascii="Times New Roman" w:eastAsia="Times New Roman" w:hAnsi="Times New Roman"/>
          <w:i/>
          <w:iCs/>
          <w:color w:val="222526"/>
          <w:sz w:val="19"/>
          <w:szCs w:val="19"/>
        </w:rPr>
        <w:t xml:space="preserve">Доказательство. Лестница 11 каналов, классификация ⟨r⟩ + KS; ограничение GSE — архитектурное.</w:t>
      </w:r>
    </w:p>
    <w:p>
      <w:pPr>
        <w:spacing w:before="120"/>
        <w:jc w:val="center"/>
      </w:pPr>
      <w:r>
        <w:drawing>
          <wp:inline distT="0" distB="0" distL="0" distR="0">
            <wp:extent cx="4381500" cy="2305050"/>
            <wp:effectExtent t="0" r="0" b="0" l="0"/>
            <wp:docPr id="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305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eastAsia="Times New Roman" w:hAnsi="Times New Roman"/>
          <w:i/>
          <w:iCs/>
          <w:color w:val="777E81"/>
          <w:sz w:val="17"/>
          <w:szCs w:val="17"/>
        </w:rPr>
        <w:t xml:space="preserve">Рис. 1. ⟨x⟩(t) для пяти конфигураций: чистая решётка (teal), ζ-облака Nv=16/64/256 (медь/золото/сланец), случайное Nv=256 (серый).</w:t>
      </w:r>
    </w:p>
    <w:p>
      <w:pPr>
        <w:spacing w:before="120"/>
        <w:jc w:val="center"/>
      </w:pPr>
      <w:r>
        <w:drawing>
          <wp:inline distT="0" distB="0" distL="0" distR="0">
            <wp:extent cx="4381500" cy="2133600"/>
            <wp:effectExtent t="0" r="0" b="0" l="0"/>
            <wp:docPr id="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eastAsia="Times New Roman" w:hAnsi="Times New Roman"/>
          <w:i/>
          <w:iCs/>
          <w:color w:val="777E81"/>
          <w:sz w:val="17"/>
          <w:szCs w:val="17"/>
        </w:rPr>
        <w:t xml:space="preserve">Рис. 1. Лестница ⟨r⟩ по 11 каналам: эталонные линии Пуассона/GOE/GUE; вихревой канал (первый столбец) — GUE.</w:t>
      </w:r>
    </w:p>
    <w:p>
      <w:pPr>
        <w:pStyle w:val="Heading1"/>
        <w:spacing w:after="140" w:before="320"/>
      </w:pPr>
      <w:bookmarkStart w:name="_Toc7" w:id="7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C9/T11. Нелокальный примитив: след знает нули точно</w:t>
      </w:r>
      <w:bookmarkEnd w:id="7"/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Урок T6 состоял в том, что тепловой след оператора, сшитого из нулей, несёт вес простых точно: K(x) = Σ e^{−xγ} = (1/π)∫₀^∞ Q(a)sin(ax) da, где Q(a) через ζ'/ζ при a &gt; ½ разворачивается в простую гребёнку Λ(n)/√n. Направление R1 спрашивало: можно ли построить семейство операторов, у которых этот вес есть ПО КОНСТРУКЦИИ, не через решётку — и сдвинет ли это r_EF из нулевого облака затворов?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Первый результат C9 — теорема T11, и она переворачивает постановку. **Теорема T11 (уникальность теплового следа).** Если Tr e^{−xH} = (1/π)∫Q(a)sin(ax) da для всех x &gt; 0, то spec H = {±γ_n}. Доказательство занимает три строки: обе стороны — преобразования Лапласа–Стилтьеса мер на (0,∞); по теореме единственности мера определяется следом однозначно; поскольку (1/π)∫2a·sin(ax)/(a²+γ²)da = e^{−xγ}, мера — считающая мера множества нулей. Следствие архитектурное: вес простых в следе — не украшение, а сама спектральная мера; зато нелокальность достижима произвольно.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Семейство C9 реализует это измеренно: N1 — H_ξ = diag(±γ) (контроль); N2 — DCT-близнец O·diag(γ)·Oᵀ с детерминированным плотным ортогональным сопряжением; N3 — QR-близнец с хаос-зерном, независимым от нулей; N4 — обрезанный Berry–Keating xp (кандидат «вне решётки»); N5 — мультипликативное ядро Λ(lcm(m,n))/√mn с простым весом в самом ядре. Конвенция v2 (развёрнутое-с-развёрнутым, документированная в docs/v2) делает контроль честным: изоспектральный близнец обязан давать r_H7 = 1.000, и он даёт.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Результат: N2/N3 дают r_H7 = 1.000000 и r_EF(fluct) = 0.999 — на уровне PC0; отклонение спектра близнеца от нулей 7e-13; тепловая верификация T6 на внутреннем кэше нулей воспроизводится до |ΔK| ≤ 1.8e-6. Напротив, Berry–Keating (r_H7 = 0.047, z ≈ 0.1 против GUE-нуля) и LCM-ядро (спектр вырожден — сама арифметическая подпись; r_EF = −0.96) остаются в нулевых зонах. Вердикт: **примитив существует, и разрыв Г2 — стена локальности, а не следа**.</w:t>
      </w:r>
    </w:p>
    <w:p>
      <w:pPr>
        <w:pStyle w:val="Heading1"/>
        <w:spacing w:after="140" w:before="320"/>
      </w:pPr>
      <w:bookmarkStart w:name="_Toc8" w:id="8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C10/T12. Фазовое кодирование: жёсткая ко-локация и её предел</w:t>
      </w:r>
      <w:bookmarkEnd w:id="8"/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Кампания C6 показала: поток простых Φ_p = ½ln p композитит точно ((Φ_p,Φ_q) ≡ Φ_pq, 1.35e-14), но спектр кодировки не видит. Направление R2 требовало фазовые конфигурации, ОБЯЗАННЫЕ удовлетворять ко-локации. C10 решает это конструктивно и попутно получает классификацию.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**Теорема T12 (классификация).** Всякая система фаз Φ: простые → ℝ/2πℤ с тождеством Φ_pq ≡ Φ_p + Φ_q (mod 2π) — гомоморфизм из свободной абелевой группы ⟨p⟩; на образующих она произвольна, и её «ln-подобная» нормальная форма есть Φ_p = 2π{β ln p}. Для характерного случая Φ_p = π·χ₄(p) система принимает значения {0, π} и оказывается **калибровочно тривиальной** в оверлей-канале решётки: e^{±iπ} = −1 переворачивает каждую y-связь, и преобразование ψ → (−1)^y ψ снимает кодировку целиком (спектры совпадают до 8.4e-15 — измерено). Единственный негэджев класс — β·ln p.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Измерение: затворы с по-сайтовым оверлеем Φ_p (простое ↔ номер сайта; по-строчный оверлей — чистая калибровка, спектр не меняет — тоже измерено при отладке). Жёсткое условие ко-локации выполнено на машинном нуле (4.4e-16) для ЛЮБОГО β — по построению, до запуска спектра. Ответ спектра: r_H7 ≤ 0.092 по всей β-сетке из 11 значений (лучший p = 0.015, Бонферрони 0.20), класс GUE неизменен (⟨r⟩ = 0.58–0.63). Вердикт: **универсальность стирает даже жёсткие кодировки** — согласуется с M3 v1, но теперь на классе систем, для которых ко-локация тождество, а не приближение.</w:t>
      </w:r>
    </w:p>
    <w:p>
      <w:pPr>
        <w:pStyle w:val="Heading1"/>
        <w:spacing w:after="140" w:before="320"/>
      </w:pPr>
      <w:bookmarkStart w:name="_Toc9" w:id="9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C11/T13. Арифметический мост: нулевые моды α = 1/3</w:t>
      </w:r>
      <w:bookmarkEnd w:id="9"/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Наблюдение T9 (v1): при α = 1/3 на торах L ≡ 0 (mod 4) есть нулевые моды — 18 при L = 12, 42 при L = 24. Дорожная карта требовала моста «арифметика L ≡ 0 (mod 3) → дираковский индекс». C11 строит чистую лабораторию: кэлер-дираковский (стаггерд) оператор в γ₅-эрмитовой форме H = ε·D + m с ландау-флаксом α, тор требует α·L ∈ ℤ — при α = 1/3 это ровно L ≡ 0 (mod 3): флакс-квантование — геометрическая причина первой арки моста.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Полный скан L = 6..48 (15 размеров, толеранс-свееп 1e-6..1e-10) даёт закон: **N₀ = 2L − 6·[L ≡ 0 (mod 12)] при L ≡ 0 (mod 6), иначе N₀ = 0**; дираковский индекс Σ sign(ε) равен −2 ровно на подсемействе L ≡ 0 (mod 12) и 0 на L ≡ 6 (mod 12). Решающие проверки на размерах, которых не было в v1: L = 36 → 66, L = 48 → 90 — обе точно по закону. Наблюдение T9 уточняется: L = 18 (≡ 2 mod 4) тоже несёт 36 мод — модификатором служит mod 12, то есть конъюнкция mod 3 (флакс) и mod 4 (стаггерд-структура).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Дополнительные измерения: открытая граница даёт ровно одну нулевую моду с индексом −1 для нечётных L ≡ 0 (mod 3) — краевой индекс; контроль α = 1/2 — нулевых мод нет ни при каком L. Это первый полноценный мост «арифметика → спектр» внутри программы: число нулевых мод решётки читается по вычетам L, а индекс различает два арифметических подкласса. Доказательство закона через индекс Кэлера–Дирака — главная цель v3 (N1 в дорожной карте).</w:t>
      </w:r>
    </w:p>
    <w:p>
      <w:pPr>
        <w:pStyle w:val="Heading1"/>
        <w:spacing w:after="140" w:before="320"/>
      </w:pPr>
      <w:bookmarkStart w:name="_Toc10" w:id="10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C12/T14. Полоса аргумент-принципа до T = 5000</w:t>
      </w:r>
      <w:bookmarkEnd w:id="10"/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Машина C2 (адаптивный аргументный принцип с мостом арифметик Тьюринга) продлена до T = 5000. Ядро — функция Римана–Зигеля: Z(t) = mp.siegelz при dps = 20 с мостом к e^{iθ}ζ на машинной точности (max |Δ| = 0.0 на шести контрольных высотах). Счёт на линии: coarse-сетка 0.15 с уточнением интервалов с малым |Z| (ловит близкие пары) и бисекцией в 36 итераций; прогон сегментами (0–5000 за 13 запусков, ~60 минут).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Результат: **N_online(5000) = 4520** при гладком счёте N̄(5000) = 4520.08; S_max = 0.91 ≤ 2 (тьюринговский порог валидности блочной схемы); стрип-проверки аргументным принципом по полной полосе σ ∈ [0,1] в трёх окнах — 11 = 11, 10 = 10, 5 = 5; якоря v1 (0, 3, 10, 29, 79, 649) воспроизведены бит-в-бит. Зазоры: [0.0908, 6.887], среднее 1.103. Полоса верифицированной RH выросла с 649 нулей до 4520 — рост на порядок по высоте и в семь раз по счёту.</w:t>
      </w:r>
    </w:p>
    <w:p>
      <w:pPr>
        <w:pStyle w:val="Heading1"/>
        <w:spacing w:after="140" w:before="320"/>
      </w:pPr>
      <w:bookmarkStart w:name="_Toc11" w:id="11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C13/T15 + C14/T16. Слепые семейства и таксономия аттрактора</w:t>
      </w:r>
      <w:bookmarkEnd w:id="11"/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Пять семейств затворов, которых не было в пространстве ручек v1 (Nv, q, W, α, aniso, dalpha, mass, profile, signs, bc, twist): BF1 — чисто мнимые x-прыжки (фаза +π/2, TRS сломан иначе); BF2 — квазипериодические позиции вихрей по золотому сечению без RNG; BF3 — стаггерд-колонки вихревых димеров; BF4 — дальнодействующие прыжки ~1/r²; BF5 — построчный дизеринг флакса. Двадцать затворов, единый конвейер, позитивный контроль конвейера PC0' = 1.000.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Результат слепого протокола: все 20 затворов в нулевой зоне — |r_H7| ≤ 0.040, минимальный p = 0.29, класс GUE сохранён. Разрыв Г2 устойчив к пяти независимым дизайнам вне v1-пространства — это демаркация T15.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Поиск аномалий (C14/T16) — систематический скан 121 конфигурации с честной таксономией: 97 конфигураций — полный GUE-класс; 18 — интегрируемая чистая решётка (Nv = 0, Пуассон/критический класс — ожидаемо по C8); 6 — промежуточная статистика слабого вихревого облака (Nv ≤ 8 при q = 0.5, ⟨r⟩ = 0.47–0.53). Ранговых выбросов нет (|r_H7| ≤ 0.153). Вывод: **GUE-аттрактор глобален для всех вихревых конфигураций**, но его бассейн имеет измеримую структуру по (Nv, q, W) — карта подхода к универсальности, а не «сенсация» вне её.</w:t>
      </w:r>
    </w:p>
    <w:p>
      <w:pPr>
        <w:pStyle w:val="Heading1"/>
        <w:spacing w:after="140" w:before="320"/>
      </w:pPr>
      <w:bookmarkStart w:name="_Toc12" w:id="12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C15/T17. Дирихле L-функции: разрыв универсален</w:t>
      </w:r>
      <w:bookmarkEnd w:id="12"/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Главный вопрос пунктa 12 плана: универсален ли измеренный разрыв Г2 или он — дефект конкретно дзеты? C15 переносит пайплайн C1–C4 + C6 на два квадратичных характера: χ₅ (чётный, mod 5) и χ₇ (нечётный, mod 7).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Ветвь графика: Z_χ(t) = e^{iθ_χ(t)}L(½+it,χ) вещественна на линии до 5e-35 (аналог K2); бисекция даёт 68 нулей ≤ 120 для χ₅ и 74 для χ₇ — согласие с гладким счётом 67.8 и 74.5; выборочная стрип-проверка аргументным принципом подтверждает счёт (3 = 3 в двух окнах). ψ_χ-лестница: скрученное сито Σχ(n)Λ(n) против эталона по нулям — корреляции 0.902 и 0.949 (аналог M2 с позитивным контролем).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Ветвь следа — теорема T17: **K_χ(x) = Σ e^{−xγ_χ} = (1/π)∫Q_χ(a)sin(ax)da, Q_χ(a) = Λ'/Λ(½+a,χ) − B_χ − C₀^χ несёт скрученный вес χ(n)Λ(n)/√n**. Вывод повторяет схему Адамара для целой функции Λ_χ; попутно найдено точное тождество C₀^χ = Λ'/Λ(½) − B_χ (аналог B = −C₀ из v1). Верификация: |ΔK| ≤ 9.6e-6 (χ₅) и 6.1e-6 (χ₇) — точность уровня v1, при том что простая часть — χ-искажённая.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Ранговая проекция: те же затворы против нулей L-функций — r_H7 = 0.035–0.164, нулевая зона. Вердикт: **разрыв Г2 универсален** — он не дефект дзеты, а свойство класса: график любой L-функции так же далёк от решёточного затвора, как и дзета.</w:t>
      </w:r>
    </w:p>
    <w:p>
      <w:pPr>
        <w:pStyle w:val="Heading1"/>
        <w:spacing w:after="140" w:before="320"/>
      </w:pPr>
      <w:bookmarkStart w:name="_Toc13" w:id="13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C16/T18. Квантово-информационный слой</w:t>
      </w:r>
      <w:bookmarkEnd w:id="13"/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Третье измерение резонатора — через запутанность и сложность. Корректный объект для одночастичных гамильтонианов — фермионная запутанность слейтеровского «морского уголка»: заполняем n нижних орбиталей, корреляционная матрица C_A = P_A(Σψψ†)P_A, спектр λ ∈ [0,1] даёт S_vN = −Σλ ln λ − Σ(1−λ)ln(1−λ) (протокол Пешеля).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Q1: морской уголок затвора запутан слабо — S_A ≈ 12–16 нат при Haar-базе 160–220 (z &gt; 100): **локальность подавляет объёмную запутанность** — квантово-информационное эхо стены локальности C9/T11. Q2: взаимная информация половинок не несёт нулевой подписи — корреляция MI-профиля с нулевым окном −0.018 при случайной −0.121 (обе в нулевом конусе). Q3: спектральный форм-фактор на развёрнутых окнах — наклоны затвора и GUE совпадают в пределах разброса, окно нулей жёстче. Вердикт: **запутанность и сложность стирают арифметику вместе со спектральной статистикой** (T18).</w:t>
      </w:r>
    </w:p>
    <w:p>
      <w:pPr>
        <w:pStyle w:val="Heading1"/>
        <w:spacing w:after="140" w:before="320"/>
      </w:pPr>
      <w:bookmarkStart w:name="_Toc14" w:id="14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Табель Гильберта–Пойа</w:t>
      </w:r>
      <w:bookmarkEnd w:id="14"/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Табель пяти вопросов сводит всё измерение воедино: резонатор построен и настроен (Г1 + Г3 + Г4), нули закодированы, а не порождены (Г2 + Г5), вес простых верифицирован только для нулевого оператора (T6, T11). Гипотетический HP-оператор, если существует, не является локальной деформацией решёточного семейства — это единственный мост между всеми восемнадцатью теоремами и тремя проекциями разрыва.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Каждый вердикт табеля имеет датированную цепочку оснований: кампании C1–C16, позитивные контроли и независимый протокол IVP01–IVP18. Именно поэтому «НЕТ» в Г2 и Г5 несёт тот же вес, что и «ДА» в Г1, Г3, Г4: он куплен той же дисциплиной контролей.</w:t>
      </w:r>
    </w:p>
    <w:p>
      <w:pPr>
        <w:keepNext/>
        <w:spacing w:after="60" w:before="140"/>
      </w:pPr>
      <w:r>
        <w:rPr>
          <w:rFonts w:ascii="Times New Roman" w:eastAsia="Times New Roman" w:hAnsi="Times New Roman"/>
          <w:b/>
          <w:bCs/>
          <w:color w:val="3B4F58"/>
          <w:sz w:val="19"/>
          <w:szCs w:val="19"/>
        </w:rPr>
        <w:t xml:space="preserve">Таблица 1. Пять вопросов программы (табель)</w:t>
      </w:r>
    </w:p>
    <w:tbl>
      <w:tblPr>
        <w:tblW w:type="pct" w:w="5000"/>
        <w:tblBorders>
          <w:top w:val="single" w:color="3B4F58" w:sz="4"/>
          <w:left w:val="none" w:color="auto" w:sz="0"/>
          <w:bottom w:val="single" w:color="3B4F58" w:sz="4"/>
          <w:right w:val="none" w:color="auto" w:sz="0"/>
          <w:insideH w:val="single" w:color="C7D3D9" w:sz="1"/>
          <w:insideV w:val="none" w:color="auto" w:sz="0"/>
        </w:tblBorders>
      </w:tblPr>
      <w:tblGrid>
        <w:gridCol w:w="703"/>
        <w:gridCol w:w="2636"/>
        <w:gridCol w:w="1055"/>
        <w:gridCol w:w="4394"/>
      </w:tblGrid>
      <w:tr>
        <w:trPr>
          <w:cantSplit/>
          <w:tblHeader/>
        </w:trPr>
        <w:tc>
          <w:tcPr>
            <w:tcW w:type="pct" w:w="400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Пункт</w:t>
            </w:r>
          </w:p>
        </w:tc>
        <w:tc>
          <w:tcPr>
            <w:tcW w:type="pct" w:w="1500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Вопрос</w:t>
            </w:r>
          </w:p>
        </w:tc>
        <w:tc>
          <w:tcPr>
            <w:tcW w:type="pct" w:w="600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Вердикт</w:t>
            </w:r>
          </w:p>
        </w:tc>
        <w:tc>
          <w:tcPr>
            <w:tcW w:type="pct" w:w="2500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Основание</w:t>
            </w:r>
          </w:p>
        </w:tc>
      </w:tr>
      <w:tr>
        <w:trPr>
          <w:cantSplit/>
        </w:trPr>
        <w:tc>
          <w:tcPr>
            <w:tcW w:type="pct" w:w="4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Г1</w:t>
            </w:r>
          </w:p>
        </w:tc>
        <w:tc>
          <w:tcPr>
            <w:tcW w:type="pct" w:w="15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самосопряжённость оператора</w:t>
            </w:r>
          </w:p>
        </w:tc>
        <w:tc>
          <w:tcPr>
            <w:tcW w:type="pct" w:w="6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ДА</w:t>
            </w:r>
          </w:p>
        </w:tc>
        <w:tc>
          <w:tcPr>
            <w:tcW w:type="pct" w:w="25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эрмитовость по построению; спектр вещественный</w:t>
            </w:r>
          </w:p>
        </w:tc>
      </w:tr>
      <w:tr>
        <w:trPr>
          <w:cantSplit/>
        </w:trPr>
        <w:tc>
          <w:tcPr>
            <w:tcW w:type="pct" w:w="4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Г2</w:t>
            </w:r>
          </w:p>
        </w:tc>
        <w:tc>
          <w:tcPr>
            <w:tcW w:type="pct" w:w="15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спектральное тождество уровень↔нуль</w:t>
            </w:r>
          </w:p>
        </w:tc>
        <w:tc>
          <w:tcPr>
            <w:tcW w:type="pct" w:w="6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НЕТ</w:t>
            </w:r>
          </w:p>
        </w:tc>
        <w:tc>
          <w:tcPr>
            <w:tcW w:type="pct" w:w="25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уровень суррогатного нуля по D_nn (C3); ≈0.5 порядка по невязке (C4); |r_H7| ≤ 0.043 (C5)</w:t>
            </w:r>
          </w:p>
        </w:tc>
      </w:tr>
      <w:tr>
        <w:trPr>
          <w:cantSplit/>
        </w:trPr>
        <w:tc>
          <w:tcPr>
            <w:tcW w:type="pct" w:w="4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Г3</w:t>
            </w:r>
          </w:p>
        </w:tc>
        <w:tc>
          <w:tcPr>
            <w:tcW w:type="pct" w:w="15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класс GUE</w:t>
            </w:r>
          </w:p>
        </w:tc>
        <w:tc>
          <w:tcPr>
            <w:tcW w:type="pct" w:w="6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ДА</w:t>
            </w:r>
          </w:p>
        </w:tc>
        <w:tc>
          <w:tcPr>
            <w:tcW w:type="pct" w:w="25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⟨r⟩ = 0.60 при Nv ≥ 8; вся C5 в классе</w:t>
            </w:r>
          </w:p>
        </w:tc>
      </w:tr>
      <w:tr>
        <w:trPr>
          <w:cantSplit/>
        </w:trPr>
        <w:tc>
          <w:tcPr>
            <w:tcW w:type="pct" w:w="4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Г4</w:t>
            </w:r>
          </w:p>
        </w:tc>
        <w:tc>
          <w:tcPr>
            <w:tcW w:type="pct" w:w="15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дираковская динамика</w:t>
            </w:r>
          </w:p>
        </w:tc>
        <w:tc>
          <w:tcPr>
            <w:tcW w:type="pct" w:w="6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ДА</w:t>
            </w:r>
          </w:p>
        </w:tc>
        <w:tc>
          <w:tcPr>
            <w:tcW w:type="pct" w:w="25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когерентный пакет, энергия 1e-15 (C7)</w:t>
            </w:r>
          </w:p>
        </w:tc>
      </w:tr>
      <w:tr>
        <w:trPr>
          <w:cantSplit/>
        </w:trPr>
        <w:tc>
          <w:tcPr>
            <w:tcW w:type="pct" w:w="4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Г5</w:t>
            </w:r>
          </w:p>
        </w:tc>
        <w:tc>
          <w:tcPr>
            <w:tcW w:type="pct" w:w="15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простые в операторе</w:t>
            </w:r>
          </w:p>
        </w:tc>
        <w:tc>
          <w:tcPr>
            <w:tcW w:type="pct" w:w="6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НЕТ</w:t>
            </w:r>
          </w:p>
        </w:tc>
        <w:tc>
          <w:tcPr>
            <w:tcW w:type="pct" w:w="25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ψ-лестница 0.972 у нулей, нулевая зона у затворов (C6)</w:t>
            </w:r>
          </w:p>
        </w:tc>
      </w:tr>
    </w:tbl>
    <w:p>
      <w:pPr>
        <w:spacing w:after="120"/>
      </w:pPr>
    </w:p>
    <w:p>
      <w:pPr>
        <w:pStyle w:val="Heading1"/>
        <w:spacing w:after="140" w:before="320"/>
      </w:pPr>
      <w:bookmarkStart w:name="_Toc15" w:id="15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Сводка теорем T1–T18</w:t>
      </w:r>
      <w:bookmarkEnd w:id="15"/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Восемнадцать теорем серии образуют единый каркас: десять из первого поколения (каркас, счёт, затворы, след, статистика) и восемь из второго (следовая уникальность, классификация фаз, индексный мост, полоса, слепая демаркация, таксономия, L-функции, квантовая информация). Статусы не завышаются: разница между «доказано» и «измерено» — часть метода, и именно она позволяет говорить о разрыве Г2 как об измеренном факте.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Шесть утверждений полностью доказаны и ещё четыре доказаны с численной верификацией (T1–T4, T6, T8, T11, T12, T17); остальные измерены с контролями. Полные формулировки с доказательствами разнесены по главам настоящего тома и по монографиям кампаний computations/C*; здесь приведён сводный реестр статусов.</w:t>
      </w:r>
    </w:p>
    <w:p>
      <w:pPr>
        <w:keepNext/>
        <w:spacing w:after="60" w:before="140"/>
      </w:pPr>
      <w:r>
        <w:rPr>
          <w:rFonts w:ascii="Times New Roman" w:eastAsia="Times New Roman" w:hAnsi="Times New Roman"/>
          <w:b/>
          <w:bCs/>
          <w:color w:val="3B4F58"/>
          <w:sz w:val="19"/>
          <w:szCs w:val="19"/>
        </w:rPr>
        <w:t xml:space="preserve">Таблица 2. Статусы теорем T1–T18</w:t>
      </w:r>
    </w:p>
    <w:tbl>
      <w:tblPr>
        <w:tblW w:type="pct" w:w="5000"/>
        <w:tblBorders>
          <w:top w:val="single" w:color="3B4F58" w:sz="4"/>
          <w:left w:val="none" w:color="auto" w:sz="0"/>
          <w:bottom w:val="single" w:color="3B4F58" w:sz="4"/>
          <w:right w:val="none" w:color="auto" w:sz="0"/>
          <w:insideH w:val="single" w:color="C7D3D9" w:sz="1"/>
          <w:insideV w:val="none" w:color="auto" w:sz="0"/>
        </w:tblBorders>
      </w:tblPr>
      <w:tblGrid>
        <w:gridCol w:w="879"/>
        <w:gridCol w:w="5449"/>
        <w:gridCol w:w="2461"/>
      </w:tblGrid>
      <w:tr>
        <w:trPr>
          <w:cantSplit/>
          <w:tblHeader/>
        </w:trPr>
        <w:tc>
          <w:tcPr>
            <w:tcW w:type="pct" w:w="500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T</w:t>
            </w:r>
          </w:p>
        </w:tc>
        <w:tc>
          <w:tcPr>
            <w:tcW w:type="pct" w:w="3100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Содержание (кратко)</w:t>
            </w:r>
          </w:p>
        </w:tc>
        <w:tc>
          <w:tcPr>
            <w:tcW w:type="pct" w:w="1400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Статус</w:t>
            </w:r>
          </w:p>
        </w:tc>
      </w:tr>
      <w:tr>
        <w:trPr>
          <w:cantSplit/>
        </w:trPr>
        <w:tc>
          <w:tcPr>
            <w:tcW w:type="pct" w:w="5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T1</w:t>
            </w:r>
          </w:p>
        </w:tc>
        <w:tc>
          <w:tcPr>
            <w:tcW w:type="pct" w:w="31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Γ-замыкания: 3 формы + опровержение кандидат-формы</w:t>
            </w:r>
          </w:p>
        </w:tc>
        <w:tc>
          <w:tcPr>
            <w:tcW w:type="pct" w:w="14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доказано</w:t>
            </w:r>
          </w:p>
        </w:tc>
      </w:tr>
      <w:tr>
        <w:trPr>
          <w:cantSplit/>
        </w:trPr>
        <w:tc>
          <w:tcPr>
            <w:tcW w:type="pct" w:w="5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T2</w:t>
            </w:r>
          </w:p>
        </w:tc>
        <w:tc>
          <w:tcPr>
            <w:tcW w:type="pct" w:w="31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Im Z_id = 0 на линии</w:t>
            </w:r>
          </w:p>
        </w:tc>
        <w:tc>
          <w:tcPr>
            <w:tcW w:type="pct" w:w="14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доказано</w:t>
            </w:r>
          </w:p>
        </w:tc>
      </w:tr>
      <w:tr>
        <w:trPr>
          <w:cantSplit/>
        </w:trPr>
        <w:tc>
          <w:tcPr>
            <w:tcW w:type="pct" w:w="5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T3</w:t>
            </w:r>
          </w:p>
        </w:tc>
        <w:tc>
          <w:tcPr>
            <w:tcW w:type="pct" w:w="31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калибровка полюса аргументного принципа</w:t>
            </w:r>
          </w:p>
        </w:tc>
        <w:tc>
          <w:tcPr>
            <w:tcW w:type="pct" w:w="14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доказано</w:t>
            </w:r>
          </w:p>
        </w:tc>
      </w:tr>
      <w:tr>
        <w:trPr>
          <w:cantSplit/>
        </w:trPr>
        <w:tc>
          <w:tcPr>
            <w:tcW w:type="pct" w:w="5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T4</w:t>
            </w:r>
          </w:p>
        </w:tc>
        <w:tc>
          <w:tcPr>
            <w:tcW w:type="pct" w:w="31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ко-локация (Φ_p,Φ_q) ≡ Φ_pq</w:t>
            </w:r>
          </w:p>
        </w:tc>
        <w:tc>
          <w:tcPr>
            <w:tcW w:type="pct" w:w="14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доказано</w:t>
            </w:r>
          </w:p>
        </w:tc>
      </w:tr>
      <w:tr>
        <w:trPr>
          <w:cantSplit/>
        </w:trPr>
        <w:tc>
          <w:tcPr>
            <w:tcW w:type="pct" w:w="5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T5</w:t>
            </w:r>
          </w:p>
        </w:tc>
        <w:tc>
          <w:tcPr>
            <w:tcW w:type="pct" w:w="31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ядро разрешения δ(d), ξ_mult ≈ 2–3</w:t>
            </w:r>
          </w:p>
        </w:tc>
        <w:tc>
          <w:tcPr>
            <w:tcW w:type="pct" w:w="14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измерено</w:t>
            </w:r>
          </w:p>
        </w:tc>
      </w:tr>
      <w:tr>
        <w:trPr>
          <w:cantSplit/>
        </w:trPr>
        <w:tc>
          <w:tcPr>
            <w:tcW w:type="pct" w:w="5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T6</w:t>
            </w:r>
          </w:p>
        </w:tc>
        <w:tc>
          <w:tcPr>
            <w:tcW w:type="pct" w:w="31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следовая формула Tr e^{−xH_ξ}</w:t>
            </w:r>
          </w:p>
        </w:tc>
        <w:tc>
          <w:tcPr>
            <w:tcW w:type="pct" w:w="14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доказано+верифицировано</w:t>
            </w:r>
          </w:p>
        </w:tc>
      </w:tr>
      <w:tr>
        <w:trPr>
          <w:cantSplit/>
        </w:trPr>
        <w:tc>
          <w:tcPr>
            <w:tcW w:type="pct" w:w="5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T7</w:t>
            </w:r>
          </w:p>
        </w:tc>
        <w:tc>
          <w:tcPr>
            <w:tcW w:type="pct" w:w="31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демаркация универсальности (87 затворов)</w:t>
            </w:r>
          </w:p>
        </w:tc>
        <w:tc>
          <w:tcPr>
            <w:tcW w:type="pct" w:w="14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измерено</w:t>
            </w:r>
          </w:p>
        </w:tc>
      </w:tr>
      <w:tr>
        <w:trPr>
          <w:cantSplit/>
        </w:trPr>
        <w:tc>
          <w:tcPr>
            <w:tcW w:type="pct" w:w="5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T8</w:t>
            </w:r>
          </w:p>
        </w:tc>
        <w:tc>
          <w:tcPr>
            <w:tcW w:type="pct" w:w="31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редукция спин-структур 64→4</w:t>
            </w:r>
          </w:p>
        </w:tc>
        <w:tc>
          <w:tcPr>
            <w:tcW w:type="pct" w:w="14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доказано</w:t>
            </w:r>
          </w:p>
        </w:tc>
      </w:tr>
      <w:tr>
        <w:trPr>
          <w:cantSplit/>
        </w:trPr>
        <w:tc>
          <w:tcPr>
            <w:tcW w:type="pct" w:w="5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T9</w:t>
            </w:r>
          </w:p>
        </w:tc>
        <w:tc>
          <w:tcPr>
            <w:tcW w:type="pct" w:w="31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нулевые моды α = 1/3 (уточнено: mod 12)</w:t>
            </w:r>
          </w:p>
        </w:tc>
        <w:tc>
          <w:tcPr>
            <w:tcW w:type="pct" w:w="14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измерено</w:t>
            </w:r>
          </w:p>
        </w:tc>
      </w:tr>
      <w:tr>
        <w:trPr>
          <w:cantSplit/>
        </w:trPr>
        <w:tc>
          <w:tcPr>
            <w:tcW w:type="pct" w:w="5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T10</w:t>
            </w:r>
          </w:p>
        </w:tc>
        <w:tc>
          <w:tcPr>
            <w:tcW w:type="pct" w:w="31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лестница Пуассон/GOE/GUE</w:t>
            </w:r>
          </w:p>
        </w:tc>
        <w:tc>
          <w:tcPr>
            <w:tcW w:type="pct" w:w="14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измерено</w:t>
            </w:r>
          </w:p>
        </w:tc>
      </w:tr>
      <w:tr>
        <w:trPr>
          <w:cantSplit/>
        </w:trPr>
        <w:tc>
          <w:tcPr>
            <w:tcW w:type="pct" w:w="5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T11</w:t>
            </w:r>
          </w:p>
        </w:tc>
        <w:tc>
          <w:tcPr>
            <w:tcW w:type="pct" w:w="31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уникальность теплового следа</w:t>
            </w:r>
          </w:p>
        </w:tc>
        <w:tc>
          <w:tcPr>
            <w:tcW w:type="pct" w:w="14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доказано</w:t>
            </w:r>
          </w:p>
        </w:tc>
      </w:tr>
      <w:tr>
        <w:trPr>
          <w:cantSplit/>
        </w:trPr>
        <w:tc>
          <w:tcPr>
            <w:tcW w:type="pct" w:w="5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T12</w:t>
            </w:r>
          </w:p>
        </w:tc>
        <w:tc>
          <w:tcPr>
            <w:tcW w:type="pct" w:w="31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классификация ко-локации фаз</w:t>
            </w:r>
          </w:p>
        </w:tc>
        <w:tc>
          <w:tcPr>
            <w:tcW w:type="pct" w:w="14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доказано+измерено</w:t>
            </w:r>
          </w:p>
        </w:tc>
      </w:tr>
      <w:tr>
        <w:trPr>
          <w:cantSplit/>
        </w:trPr>
        <w:tc>
          <w:tcPr>
            <w:tcW w:type="pct" w:w="5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T13</w:t>
            </w:r>
          </w:p>
        </w:tc>
        <w:tc>
          <w:tcPr>
            <w:tcW w:type="pct" w:w="31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счётный закон N₀ = 2L−6·[L≡0 (mod 12)]</w:t>
            </w:r>
          </w:p>
        </w:tc>
        <w:tc>
          <w:tcPr>
            <w:tcW w:type="pct" w:w="14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измерено (закон)</w:t>
            </w:r>
          </w:p>
        </w:tc>
      </w:tr>
      <w:tr>
        <w:trPr>
          <w:cantSplit/>
        </w:trPr>
        <w:tc>
          <w:tcPr>
            <w:tcW w:type="pct" w:w="5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T14</w:t>
            </w:r>
          </w:p>
        </w:tc>
        <w:tc>
          <w:tcPr>
            <w:tcW w:type="pct" w:w="31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полоса RH до T = 5000 (4520 нулей)</w:t>
            </w:r>
          </w:p>
        </w:tc>
        <w:tc>
          <w:tcPr>
            <w:tcW w:type="pct" w:w="14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измерено</w:t>
            </w:r>
          </w:p>
        </w:tc>
      </w:tr>
      <w:tr>
        <w:trPr>
          <w:cantSplit/>
        </w:trPr>
        <w:tc>
          <w:tcPr>
            <w:tcW w:type="pct" w:w="5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T15</w:t>
            </w:r>
          </w:p>
        </w:tc>
        <w:tc>
          <w:tcPr>
            <w:tcW w:type="pct" w:w="31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демаркация слепых семейств (20 затворов)</w:t>
            </w:r>
          </w:p>
        </w:tc>
        <w:tc>
          <w:tcPr>
            <w:tcW w:type="pct" w:w="14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измерено</w:t>
            </w:r>
          </w:p>
        </w:tc>
      </w:tr>
      <w:tr>
        <w:trPr>
          <w:cantSplit/>
        </w:trPr>
        <w:tc>
          <w:tcPr>
            <w:tcW w:type="pct" w:w="5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T16</w:t>
            </w:r>
          </w:p>
        </w:tc>
        <w:tc>
          <w:tcPr>
            <w:tcW w:type="pct" w:w="31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таксономия аттрактора (121 конфигурация)</w:t>
            </w:r>
          </w:p>
        </w:tc>
        <w:tc>
          <w:tcPr>
            <w:tcW w:type="pct" w:w="14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измерено</w:t>
            </w:r>
          </w:p>
        </w:tc>
      </w:tr>
      <w:tr>
        <w:trPr>
          <w:cantSplit/>
        </w:trPr>
        <w:tc>
          <w:tcPr>
            <w:tcW w:type="pct" w:w="5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T17</w:t>
            </w:r>
          </w:p>
        </w:tc>
        <w:tc>
          <w:tcPr>
            <w:tcW w:type="pct" w:w="31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скрученная следовая формула L-функций</w:t>
            </w:r>
          </w:p>
        </w:tc>
        <w:tc>
          <w:tcPr>
            <w:tcW w:type="pct" w:w="14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доказано+верифицировано</w:t>
            </w:r>
          </w:p>
        </w:tc>
      </w:tr>
      <w:tr>
        <w:trPr>
          <w:cantSplit/>
        </w:trPr>
        <w:tc>
          <w:tcPr>
            <w:tcW w:type="pct" w:w="5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T18</w:t>
            </w:r>
          </w:p>
        </w:tc>
        <w:tc>
          <w:tcPr>
            <w:tcW w:type="pct" w:w="31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квантовое эхо локальности</w:t>
            </w:r>
          </w:p>
        </w:tc>
        <w:tc>
          <w:tcPr>
            <w:tcW w:type="pct" w:w="14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измерено</w:t>
            </w:r>
          </w:p>
        </w:tc>
      </w:tr>
    </w:tbl>
    <w:p>
      <w:pPr>
        <w:spacing w:after="120"/>
      </w:pPr>
    </w:p>
    <w:p>
      <w:pPr>
        <w:pStyle w:val="Heading1"/>
        <w:spacing w:after="140" w:before="320"/>
      </w:pPr>
      <w:bookmarkStart w:name="_Toc16" w:id="16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Пиксельный протокол: видео как измерение</w:t>
      </w:r>
      <w:bookmarkEnd w:id="16"/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Второй фильм пакета — «Zeros &amp; Gates: пиксельное декодирование» (3:06, 1920×1080, 30 fps) — фильм, перестроенный в инструмент: не пересказ, а запись измерения. Конвейер: 87 затворов → канва 25×25 RGBA → PNG без потерь → декодирование бит-в-бит → f(E) = det(E·I − H_pixels) → 24 нуля бисекцией → сверка с mpmath. На экране нет ни одной декоративной картинки и ни одной напечатанной цифры: каждое изображение испущено скриптом pixel_decoding.py, каждый номер прочитан из пикселей или получен из прочитанного.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Кодирование честно описано как обратная спектральная задача. Мера с узлами γ₁…γ₂₄ (mpmath, 25 dps) и весами wₙ ∝ 1/|ζ′(½+iγₙ)| проводится 24-шаговым проходом Ланцоша с полной реортогонализацией; выход — вещественная симметричная трёхдиагональная матрица J с α ∈ [44.85, 62.24] и β ∈ [4.51, 23.16], чей спектр тождественен заложенным нулям. Каждый пиксель несёт 32-битное слово: 30-битный мантиссный Q22 (v = X·2⁻²²) и знак в альфа-канале; 24 диагональных затвора (αₙ), 46 связующих (23 β и зеркала) и 17 witness-затворов калибровочной колонки — итого 87.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Измерение: из декодированных пикселей собирается f(E) = det(E·I − H_pixels) трёхчленной рекуррентностью p₀ = 1, p₁ = E − α₁, p_{k+1} = (E − α_{k+1})p_k − β_k²p_{k−1}; сетка 120 001 точка ловит 24 смены знака, бисекция в 90 итераций уточняет корни. Сверка с типизированным эталоном: max|Δ| = 1.26×10⁻⁷, RMS = 4.98×10⁻⁸ — семь совпадающих цифр по всей гребёнке от 14.1347251 до 87.4252746; круговая ошибка ограничена квантованием Q22 (≈1.2×10⁻⁷), PNG-ход бит-в-бит идентичен, witness-полоса 17/17.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Честная рамка протокола. Пиксели не содержат нулей — они содержат α и β; нули поднимаются из функции, которую пиксели определяют. Но информационный поток конвейера — нули → оператор → нули: узлы и веса меры заложены из zetazero, и Ланцош лишь переупаковывает их в матрицу, обратимую по построению (пара (γ, w) ↔ (α, β) — обратная задача Якоби). Демонстрируется безпотерьное кодирование и контроль целостности, а не арифметическое порождение оператора. Слепая версия протокола — пиксели из арифметики, нули как предсказание — шаг N7 дорожной карты; именно она превратила бы фильм из инструмента честности в тест программы.</w:t>
      </w:r>
    </w:p>
    <w:p>
      <w:pPr>
        <w:keepNext/>
        <w:spacing w:after="60" w:before="140"/>
      </w:pPr>
      <w:r>
        <w:rPr>
          <w:rFonts w:ascii="Times New Roman" w:eastAsia="Times New Roman" w:hAnsi="Times New Roman"/>
          <w:b/>
          <w:bCs/>
          <w:color w:val="3B4F58"/>
          <w:sz w:val="19"/>
          <w:szCs w:val="19"/>
        </w:rPr>
        <w:t xml:space="preserve">Таблица. Пиксельный протокол: измеренный счёт</w:t>
      </w:r>
    </w:p>
    <w:tbl>
      <w:tblPr>
        <w:tblW w:type="pct" w:w="5000"/>
        <w:tblBorders>
          <w:top w:val="single" w:color="3B4F58" w:sz="4"/>
          <w:left w:val="none" w:color="auto" w:sz="0"/>
          <w:bottom w:val="single" w:color="3B4F58" w:sz="4"/>
          <w:right w:val="none" w:color="auto" w:sz="0"/>
          <w:insideH w:val="single" w:color="C7D3D9" w:sz="1"/>
          <w:insideV w:val="none" w:color="auto" w:sz="0"/>
        </w:tblBorders>
      </w:tblPr>
      <w:tblGrid>
        <w:gridCol w:w="4833"/>
        <w:gridCol w:w="3955"/>
      </w:tblGrid>
      <w:tr>
        <w:trPr>
          <w:cantSplit/>
          <w:tblHeader/>
        </w:trPr>
        <w:tc>
          <w:tcPr>
            <w:tcW w:type="pct" w:w="2750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Величина</w:t>
            </w:r>
          </w:p>
        </w:tc>
        <w:tc>
          <w:tcPr>
            <w:tcW w:type="pct" w:w="2250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Значение</w:t>
            </w:r>
          </w:p>
        </w:tc>
      </w:tr>
      <w:tr>
        <w:trPr>
          <w:cantSplit/>
        </w:trPr>
        <w:tc>
          <w:tcPr>
            <w:tcW w:type="pct" w:w="275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Затворов всего / структурных / witness</w:t>
            </w:r>
          </w:p>
        </w:tc>
        <w:tc>
          <w:tcPr>
            <w:tcW w:type="pct" w:w="225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87 / 70 / 17</w:t>
            </w:r>
          </w:p>
        </w:tc>
      </w:tr>
      <w:tr>
        <w:trPr>
          <w:cantSplit/>
        </w:trPr>
        <w:tc>
          <w:tcPr>
            <w:tcW w:type="pct" w:w="275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Канва</w:t>
            </w:r>
          </w:p>
        </w:tc>
        <w:tc>
          <w:tcPr>
            <w:tcW w:type="pct" w:w="225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25×25 RGBA = 24×24 решётка + калибровка</w:t>
            </w:r>
          </w:p>
        </w:tc>
      </w:tr>
      <w:tr>
        <w:trPr>
          <w:cantSplit/>
        </w:trPr>
        <w:tc>
          <w:tcPr>
            <w:tcW w:type="pct" w:w="275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Формат пикселя</w:t>
            </w:r>
          </w:p>
        </w:tc>
        <w:tc>
          <w:tcPr>
            <w:tcW w:type="pct" w:w="225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30 бит мантисса (Q22) + знак</w:t>
            </w:r>
          </w:p>
        </w:tc>
      </w:tr>
      <w:tr>
        <w:trPr>
          <w:cantSplit/>
        </w:trPr>
        <w:tc>
          <w:tcPr>
            <w:tcW w:type="pct" w:w="275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PNG-ход (байт-в-байт)</w:t>
            </w:r>
          </w:p>
        </w:tc>
        <w:tc>
          <w:tcPr>
            <w:tcW w:type="pct" w:w="225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идентичен</w:t>
            </w:r>
          </w:p>
        </w:tc>
      </w:tr>
      <w:tr>
        <w:trPr>
          <w:cantSplit/>
        </w:trPr>
        <w:tc>
          <w:tcPr>
            <w:tcW w:type="pct" w:w="275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witness-полоса</w:t>
            </w:r>
          </w:p>
        </w:tc>
        <w:tc>
          <w:tcPr>
            <w:tcW w:type="pct" w:w="225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17/17</w:t>
            </w:r>
          </w:p>
        </w:tc>
      </w:tr>
      <w:tr>
        <w:trPr>
          <w:cantSplit/>
        </w:trPr>
        <w:tc>
          <w:tcPr>
            <w:tcW w:type="pct" w:w="275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max|измерено − эталон|</w:t>
            </w:r>
          </w:p>
        </w:tc>
        <w:tc>
          <w:tcPr>
            <w:tcW w:type="pct" w:w="225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1.26×10⁻⁷</w:t>
            </w:r>
          </w:p>
        </w:tc>
      </w:tr>
      <w:tr>
        <w:trPr>
          <w:cantSplit/>
        </w:trPr>
        <w:tc>
          <w:tcPr>
            <w:tcW w:type="pct" w:w="275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RMS |Δ|</w:t>
            </w:r>
          </w:p>
        </w:tc>
        <w:tc>
          <w:tcPr>
            <w:tcW w:type="pct" w:w="225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4.98×10⁻⁸</w:t>
            </w:r>
          </w:p>
        </w:tc>
      </w:tr>
      <w:tr>
        <w:trPr>
          <w:cantSplit/>
        </w:trPr>
        <w:tc>
          <w:tcPr>
            <w:tcW w:type="pct" w:w="275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Относительная ошибка</w:t>
            </w:r>
          </w:p>
        </w:tc>
        <w:tc>
          <w:tcPr>
            <w:tcW w:type="pct" w:w="225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2.4×10⁻⁹</w:t>
            </w:r>
          </w:p>
        </w:tc>
      </w:tr>
      <w:tr>
        <w:trPr>
          <w:cantSplit/>
        </w:trPr>
        <w:tc>
          <w:tcPr>
            <w:tcW w:type="pct" w:w="275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Диапазон α / β</w:t>
            </w:r>
          </w:p>
        </w:tc>
        <w:tc>
          <w:tcPr>
            <w:tcW w:type="pct" w:w="225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[44.85, 62.24] / [4.51, 23.16]</w:t>
            </w:r>
          </w:p>
        </w:tc>
      </w:tr>
    </w:tbl>
    <w:p>
      <w:pPr>
        <w:spacing w:after="120"/>
      </w:pPr>
    </w:p>
    <w:p>
      <w:pPr>
        <w:spacing w:before="120"/>
        <w:jc w:val="center"/>
      </w:pPr>
      <w:r>
        <w:drawing>
          <wp:inline distT="0" distB="0" distL="0" distR="0">
            <wp:extent cx="4381500" cy="4381500"/>
            <wp:effectExtent t="0" r="0" b="0" l="0"/>
            <wp:docPr id="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438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eastAsia="Times New Roman" w:hAnsi="Times New Roman"/>
          <w:i/>
          <w:iCs/>
          <w:color w:val="777E81"/>
          <w:sz w:val="17"/>
          <w:szCs w:val="17"/>
        </w:rPr>
        <w:t xml:space="preserve">Рис. 1. Мастер-канва 25×25 RGBA: «большая пиксельная формула» — 24×24 решётка плюс калибровочная колонка.</w:t>
      </w:r>
    </w:p>
    <w:p>
      <w:pPr>
        <w:spacing w:before="120"/>
        <w:jc w:val="center"/>
      </w:pPr>
      <w:r>
        <w:drawing>
          <wp:inline distT="0" distB="0" distL="0" distR="0">
            <wp:extent cx="4381500" cy="2466975"/>
            <wp:effectExtent t="0" r="0" b="0" l="0"/>
            <wp:docPr id="1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466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eastAsia="Times New Roman" w:hAnsi="Times New Roman"/>
          <w:i/>
          <w:iCs/>
          <w:color w:val="777E81"/>
          <w:sz w:val="17"/>
          <w:szCs w:val="17"/>
        </w:rPr>
        <w:t xml:space="preserve">Рис. 2. H_pixels, прочитанная из байтов PNG: все 70 структурных элементов аннотированы.</w:t>
      </w:r>
    </w:p>
    <w:p>
      <w:pPr>
        <w:spacing w:before="120"/>
        <w:jc w:val="center"/>
      </w:pPr>
      <w:r>
        <w:drawing>
          <wp:inline distT="0" distB="0" distL="0" distR="0">
            <wp:extent cx="4381500" cy="2466975"/>
            <wp:effectExtent t="0" r="0" b="0" l="0"/>
            <wp:docPr id="1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466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eastAsia="Times New Roman" w:hAnsi="Times New Roman"/>
          <w:i/>
          <w:iCs/>
          <w:color w:val="777E81"/>
          <w:sz w:val="17"/>
          <w:szCs w:val="17"/>
        </w:rPr>
        <w:t xml:space="preserve">Рис. 3. Лестница измеренных нулей против гладкого счёта Римана–фон Мангольдта.</w:t>
      </w:r>
    </w:p>
    <w:p>
      <w:pPr>
        <w:pStyle w:val="Heading1"/>
        <w:spacing w:after="140" w:before="320"/>
      </w:pPr>
      <w:bookmarkStart w:name="_Toc17" w:id="17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Окружение, детерминизм и словарь данных</w:t>
      </w:r>
      <w:bookmarkEnd w:id="17"/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Все кампании выполнены в одном окружении: Python 3.12, numpy 2.1, scipy 2.14 (eigvalsh, driver evr), mpmath 1.3 (dps 25–40 по критериям), matplotlib 3.9 (рисунки 600 dpi). Мастер-сид серии — 96; потоки RNG фиксированы: вихри default_rng(96 + 3500), беспорядок default_rng(96 + 3501), GUE-нули default_rng(9000 + k), пуассоновские default_rng(7000 + k). Время исполнения — от секунд (C1) до часа (C2, C6); C12 выполнен сегментами с последующей сборкой.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Бит-в-бит контроль базы: эталонный затвор протокола воспроизводит средний межуровневый интервал CSV C3 с отклонением 1.45e-16 — ядро engine/hamiltonian.py эквивалентно исходному протоколу. Вердикты закоммичены в data/; кампании перечитывают их и пересчитывают дешёвые инварианты за секунды. Полный протокол независимой верификации IVP01–IVP18 — 18/18 PASS одной командой; pytest-сюит 21/21. Словарь файлов вердиктов — в таблице ниже.</w:t>
      </w:r>
    </w:p>
    <w:p>
      <w:pPr>
        <w:keepNext/>
        <w:spacing w:after="60" w:before="140"/>
      </w:pPr>
      <w:r>
        <w:rPr>
          <w:rFonts w:ascii="Times New Roman" w:eastAsia="Times New Roman" w:hAnsi="Times New Roman"/>
          <w:b/>
          <w:bCs/>
          <w:color w:val="3B4F58"/>
          <w:sz w:val="19"/>
          <w:szCs w:val="19"/>
        </w:rPr>
        <w:t xml:space="preserve">Таблица 1. Файлы вердиктов</w:t>
      </w:r>
    </w:p>
    <w:tbl>
      <w:tblPr>
        <w:tblW w:type="pct" w:w="5000"/>
        <w:tblBorders>
          <w:top w:val="single" w:color="3B4F58" w:sz="4"/>
          <w:left w:val="none" w:color="auto" w:sz="0"/>
          <w:bottom w:val="single" w:color="3B4F58" w:sz="4"/>
          <w:right w:val="none" w:color="auto" w:sz="0"/>
          <w:insideH w:val="single" w:color="C7D3D9" w:sz="1"/>
          <w:insideV w:val="none" w:color="auto" w:sz="0"/>
        </w:tblBorders>
      </w:tblPr>
      <w:tblGrid>
        <w:gridCol w:w="3164"/>
        <w:gridCol w:w="4042"/>
        <w:gridCol w:w="1582"/>
      </w:tblGrid>
      <w:tr>
        <w:trPr>
          <w:cantSplit/>
          <w:tblHeader/>
        </w:trPr>
        <w:tc>
          <w:tcPr>
            <w:tcW w:type="pct" w:w="1800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Файл</w:t>
            </w:r>
          </w:p>
        </w:tc>
        <w:tc>
          <w:tcPr>
            <w:tcW w:type="pct" w:w="2300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Содержание</w:t>
            </w:r>
          </w:p>
        </w:tc>
        <w:tc>
          <w:tcPr>
            <w:tcW w:type="pct" w:w="900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Кампания</w:t>
            </w:r>
          </w:p>
        </w:tc>
      </w:tr>
      <w:tr>
        <w:trPr>
          <w:cantSplit/>
        </w:trPr>
        <w:tc>
          <w:tcPr>
            <w:tcW w:type="pct" w:w="18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c1_identity_verdict.json</w:t>
            </w:r>
          </w:p>
        </w:tc>
        <w:tc>
          <w:tcPr>
            <w:tcW w:type="pct" w:w="23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K1–K7: лестница, вещественность, нули, Грам</w:t>
            </w:r>
          </w:p>
        </w:tc>
        <w:tc>
          <w:tcPr>
            <w:tcW w:type="pct" w:w="9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C1</w:t>
            </w:r>
          </w:p>
        </w:tc>
      </w:tr>
      <w:tr>
        <w:trPr>
          <w:cantSplit/>
        </w:trPr>
        <w:tc>
          <w:tcPr>
            <w:tcW w:type="pct" w:w="18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c2_argument_verdict.json</w:t>
            </w:r>
          </w:p>
        </w:tc>
        <w:tc>
          <w:tcPr>
            <w:tcW w:type="pct" w:w="23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якоря 0/3/10/29/79/649, S(T), зазоры, мост</w:t>
            </w:r>
          </w:p>
        </w:tc>
        <w:tc>
          <w:tcPr>
            <w:tcW w:type="pct" w:w="9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C2</w:t>
            </w:r>
          </w:p>
        </w:tc>
      </w:tr>
      <w:tr>
        <w:trPr>
          <w:cantSplit/>
        </w:trPr>
        <w:tc>
          <w:tcPr>
            <w:tcW w:type="pct" w:w="18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c3_gates_verdict.json + c3_gates_table.csv</w:t>
            </w:r>
          </w:p>
        </w:tc>
        <w:tc>
          <w:tcPr>
            <w:tcW w:type="pct" w:w="23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52 затвора, нули, PC1/PC2</w:t>
            </w:r>
          </w:p>
        </w:tc>
        <w:tc>
          <w:tcPr>
            <w:tcW w:type="pct" w:w="9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C3</w:t>
            </w:r>
          </w:p>
        </w:tc>
      </w:tr>
      <w:tr>
        <w:trPr>
          <w:cantSplit/>
        </w:trPr>
        <w:tc>
          <w:tcPr>
            <w:tcW w:type="pct" w:w="18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c4_trace_verdict.json</w:t>
            </w:r>
          </w:p>
        </w:tc>
        <w:tc>
          <w:tcPr>
            <w:tcW w:type="pct" w:w="23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M0/M1/M2, PC0, разрыв следовой метрики</w:t>
            </w:r>
          </w:p>
        </w:tc>
        <w:tc>
          <w:tcPr>
            <w:tcW w:type="pct" w:w="9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C4</w:t>
            </w:r>
          </w:p>
        </w:tc>
      </w:tr>
      <w:tr>
        <w:trPr>
          <w:cantSplit/>
        </w:trPr>
        <w:tc>
          <w:tcPr>
            <w:tcW w:type="pct" w:w="18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c5_gates_ext_verdict.json + c5_gates_ext_table.csv</w:t>
            </w:r>
          </w:p>
        </w:tc>
        <w:tc>
          <w:tcPr>
            <w:tcW w:type="pct" w:w="23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35+2 расширенных затвора</w:t>
            </w:r>
          </w:p>
        </w:tc>
        <w:tc>
          <w:tcPr>
            <w:tcW w:type="pct" w:w="9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C5</w:t>
            </w:r>
          </w:p>
        </w:tc>
      </w:tr>
      <w:tr>
        <w:trPr>
          <w:cantSplit/>
        </w:trPr>
        <w:tc>
          <w:tcPr>
            <w:tcW w:type="pct" w:w="18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c6_primes_verdict.json</w:t>
            </w:r>
          </w:p>
        </w:tc>
        <w:tc>
          <w:tcPr>
            <w:tcW w:type="pct" w:w="23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ко-локация, ядро, ψ-лестница, кодировки</w:t>
            </w:r>
          </w:p>
        </w:tc>
        <w:tc>
          <w:tcPr>
            <w:tcW w:type="pct" w:w="9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C6</w:t>
            </w:r>
          </w:p>
        </w:tc>
      </w:tr>
      <w:tr>
        <w:trPr>
          <w:cantSplit/>
        </w:trPr>
        <w:tc>
          <w:tcPr>
            <w:tcW w:type="pct" w:w="18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c7_dynamics_verdict.json</w:t>
            </w:r>
          </w:p>
        </w:tc>
        <w:tc>
          <w:tcPr>
            <w:tcW w:type="pct" w:w="23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траектории ⟨x⟩(t), транспорт P(x≥90)</w:t>
            </w:r>
          </w:p>
        </w:tc>
        <w:tc>
          <w:tcPr>
            <w:tcW w:type="pct" w:w="9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C7</w:t>
            </w:r>
          </w:p>
        </w:tc>
      </w:tr>
      <w:tr>
        <w:trPr>
          <w:cantSplit/>
        </w:trPr>
        <w:tc>
          <w:tcPr>
            <w:tcW w:type="pct" w:w="18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c8 ladder + spinor64</w:t>
            </w:r>
          </w:p>
        </w:tc>
        <w:tc>
          <w:tcPr>
            <w:tcW w:type="pct" w:w="23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лестница 11 каналов, редукция 64→4</w:t>
            </w:r>
          </w:p>
        </w:tc>
        <w:tc>
          <w:tcPr>
            <w:tcW w:type="pct" w:w="9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C8</w:t>
            </w:r>
          </w:p>
        </w:tc>
      </w:tr>
    </w:tbl>
    <w:p>
      <w:pPr>
        <w:spacing w:after="120"/>
      </w:pPr>
    </w:p>
    <w:p>
      <w:pPr>
        <w:pStyle w:val="Heading1"/>
        <w:spacing w:after="140" w:before="320"/>
      </w:pPr>
      <w:bookmarkStart w:name="_Toc18" w:id="18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Реестр контролей и формула цикла</w:t>
      </w:r>
      <w:bookmarkEnd w:id="18"/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Дисциплина контролей: метод допускается к отрицательному вердикту только после того, как продемонстрировал положительный результат на объекте, где тождество заведомо есть. Все отрицательные результаты серии (Г2, Г5, M3) прошли через эту процедуру; все положительные (T1–T4, T6, T8) — через независимый пересчёт в IVP01–IVP10.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Открытый challenge (challenge/CHALLENGE.md) принимает подачи по публичной метрике: r_H7 ≥ 0.7 по протоколу v2 при проходящих позитивных контролях и intact GUE-классе; скорер слеп и сохраняет полный отчёт независимо от исхода. Лидерборд открыт.</w:t>
      </w:r>
    </w:p>
    <w:p>
      <w:pPr>
        <w:keepNext/>
        <w:spacing w:after="60" w:before="140"/>
      </w:pPr>
      <w:r>
        <w:rPr>
          <w:rFonts w:ascii="Times New Roman" w:eastAsia="Times New Roman" w:hAnsi="Times New Roman"/>
          <w:b/>
          <w:bCs/>
          <w:color w:val="3B4F58"/>
          <w:sz w:val="19"/>
          <w:szCs w:val="19"/>
        </w:rPr>
        <w:t xml:space="preserve">Таблица 2. Контроли серии</w:t>
      </w:r>
    </w:p>
    <w:tbl>
      <w:tblPr>
        <w:tblW w:type="pct" w:w="5000"/>
        <w:tblBorders>
          <w:top w:val="single" w:color="3B4F58" w:sz="4"/>
          <w:left w:val="none" w:color="auto" w:sz="0"/>
          <w:bottom w:val="single" w:color="3B4F58" w:sz="4"/>
          <w:right w:val="none" w:color="auto" w:sz="0"/>
          <w:insideH w:val="single" w:color="C7D3D9" w:sz="1"/>
          <w:insideV w:val="none" w:color="auto" w:sz="0"/>
        </w:tblBorders>
      </w:tblPr>
      <w:tblGrid>
        <w:gridCol w:w="2285"/>
        <w:gridCol w:w="2636"/>
        <w:gridCol w:w="2285"/>
        <w:gridCol w:w="1582"/>
      </w:tblGrid>
      <w:tr>
        <w:trPr>
          <w:cantSplit/>
          <w:tblHeader/>
        </w:trPr>
        <w:tc>
          <w:tcPr>
            <w:tcW w:type="pct" w:w="1300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Контроль</w:t>
            </w:r>
          </w:p>
        </w:tc>
        <w:tc>
          <w:tcPr>
            <w:tcW w:type="pct" w:w="1500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Что обязан показать</w:t>
            </w:r>
          </w:p>
        </w:tc>
        <w:tc>
          <w:tcPr>
            <w:tcW w:type="pct" w:w="1300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Значение</w:t>
            </w:r>
          </w:p>
        </w:tc>
        <w:tc>
          <w:tcPr>
            <w:tcW w:type="pct" w:w="900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Где</w:t>
            </w:r>
          </w:p>
        </w:tc>
      </w:tr>
      <w:tr>
        <w:trPr>
          <w:cantSplit/>
        </w:trPr>
        <w:tc>
          <w:tcPr>
            <w:tcW w:type="pct" w:w="13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PC1 близнецы spinor64</w:t>
            </w:r>
          </w:p>
        </w:tc>
        <w:tc>
          <w:tcPr>
            <w:tcW w:type="pct" w:w="15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r = 1 на изоспектральной орбите</w:t>
            </w:r>
          </w:p>
        </w:tc>
        <w:tc>
          <w:tcPr>
            <w:tcW w:type="pct" w:w="13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r = 1.000000000, D_nn = 2.7e-14</w:t>
            </w:r>
          </w:p>
        </w:tc>
        <w:tc>
          <w:tcPr>
            <w:tcW w:type="pct" w:w="9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C3</w:t>
            </w:r>
          </w:p>
        </w:tc>
      </w:tr>
      <w:tr>
        <w:trPr>
          <w:cantSplit/>
        </w:trPr>
        <w:tc>
          <w:tcPr>
            <w:tcW w:type="pct" w:w="13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PC2 график ↔ файл</w:t>
            </w:r>
          </w:p>
        </w:tc>
        <w:tc>
          <w:tcPr>
            <w:tcW w:type="pct" w:w="15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r = 1 между нулями Z_id и файлом</w:t>
            </w:r>
          </w:p>
        </w:tc>
        <w:tc>
          <w:tcPr>
            <w:tcW w:type="pct" w:w="13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r = 1.000000000000</w:t>
            </w:r>
          </w:p>
        </w:tc>
        <w:tc>
          <w:tcPr>
            <w:tcW w:type="pct" w:w="9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C3</w:t>
            </w:r>
          </w:p>
        </w:tc>
      </w:tr>
      <w:tr>
        <w:trPr>
          <w:cantSplit/>
        </w:trPr>
        <w:tc>
          <w:tcPr>
            <w:tcW w:type="pct" w:w="13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PC0 окно нулей (след)</w:t>
            </w:r>
          </w:p>
        </w:tc>
        <w:tc>
          <w:tcPr>
            <w:tcW w:type="pct" w:w="15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метод видит Λ-гребёнку</w:t>
            </w:r>
          </w:p>
        </w:tc>
        <w:tc>
          <w:tcPr>
            <w:tcW w:type="pct" w:w="13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r_EF = +0.9998, остаток 2.1%</w:t>
            </w:r>
          </w:p>
        </w:tc>
        <w:tc>
          <w:tcPr>
            <w:tcW w:type="pct" w:w="9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C4</w:t>
            </w:r>
          </w:p>
        </w:tc>
      </w:tr>
      <w:tr>
        <w:trPr>
          <w:cantSplit/>
        </w:trPr>
        <w:tc>
          <w:tcPr>
            <w:tcW w:type="pct" w:w="13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Декуи (случайные фазы)</w:t>
            </w:r>
          </w:p>
        </w:tc>
        <w:tc>
          <w:tcPr>
            <w:tcW w:type="pct" w:w="15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нулевая зона корреляций</w:t>
            </w:r>
          </w:p>
        </w:tc>
        <w:tc>
          <w:tcPr>
            <w:tcW w:type="pct" w:w="13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0.026±0.140 / +0.050±0.153</w:t>
            </w:r>
          </w:p>
        </w:tc>
        <w:tc>
          <w:tcPr>
            <w:tcW w:type="pct" w:w="9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C3, C6</w:t>
            </w:r>
          </w:p>
        </w:tc>
      </w:tr>
      <w:tr>
        <w:trPr>
          <w:cantSplit/>
        </w:trPr>
        <w:tc>
          <w:tcPr>
            <w:tcW w:type="pct" w:w="13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GUE-нуль</w:t>
            </w:r>
          </w:p>
        </w:tc>
        <w:tc>
          <w:tcPr>
            <w:tcW w:type="pct" w:w="15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универсальность без тождества</w:t>
            </w:r>
          </w:p>
        </w:tc>
        <w:tc>
          <w:tcPr>
            <w:tcW w:type="pct" w:w="13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⟨r⟩-плато; r_EF 0.43±0.71</w:t>
            </w:r>
          </w:p>
        </w:tc>
        <w:tc>
          <w:tcPr>
            <w:tcW w:type="pct" w:w="9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C3–C5</w:t>
            </w:r>
          </w:p>
        </w:tc>
      </w:tr>
      <w:tr>
        <w:trPr>
          <w:cantSplit/>
        </w:trPr>
        <w:tc>
          <w:tcPr>
            <w:tcW w:type="pct" w:w="13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Суррогатный нуль (блоки)</w:t>
            </w:r>
          </w:p>
        </w:tc>
        <w:tc>
          <w:tcPr>
            <w:tcW w:type="pct" w:w="15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ширина тепловой метрики</w:t>
            </w:r>
          </w:p>
        </w:tc>
        <w:tc>
          <w:tcPr>
            <w:tcW w:type="pct" w:w="13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0.00±0.39</w:t>
            </w:r>
          </w:p>
        </w:tc>
        <w:tc>
          <w:tcPr>
            <w:tcW w:type="pct" w:w="9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C4</w:t>
            </w:r>
          </w:p>
        </w:tc>
      </w:tr>
      <w:tr>
        <w:trPr>
          <w:cantSplit/>
        </w:trPr>
        <w:tc>
          <w:tcPr>
            <w:tcW w:type="pct" w:w="13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Пуассон-нуль</w:t>
            </w:r>
          </w:p>
        </w:tc>
        <w:tc>
          <w:tcPr>
            <w:tcW w:type="pct" w:w="15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кластеризованные спектры</w:t>
            </w:r>
          </w:p>
        </w:tc>
        <w:tc>
          <w:tcPr>
            <w:tcW w:type="pct" w:w="13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0.08±0.80</w:t>
            </w:r>
          </w:p>
        </w:tc>
        <w:tc>
          <w:tcPr>
            <w:tcW w:type="pct" w:w="9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C4</w:t>
            </w:r>
          </w:p>
        </w:tc>
      </w:tr>
    </w:tbl>
    <w:p>
      <w:pPr>
        <w:spacing w:after="120"/>
      </w:pP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Формула цикла после шестнадцати кампаний: резонатор построен и настроен (Г1 + Г3 + Г4); нули закодированы, а не порождены (Г2 + Г5); вес простых верифицирован для нулевого оператора (T6) и для нелокального примитива (T11), но отсутствует в локальных затворах.</w:t>
      </w:r>
    </w:p>
    <w:p>
      <w:pPr>
        <w:pStyle w:val="Heading1"/>
        <w:spacing w:after="140" w:before="320"/>
      </w:pPr>
      <w:bookmarkStart w:name="_Toc19" w:id="19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Реестр честности: первое поколение</w:t>
      </w:r>
      <w:bookmarkEnd w:id="19"/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Дисциплина «статусы не завышаются, все константы выводятся» сопровождается реестром опубликованных ошибок. Из первого поколения: опровержение кандидат-формы Γ-модуля (K1) опубликовано в монографии C1; ошибка множителя Σγ² (4π³) найдена расхождением с данными и исправлена (C2); вырожденный угол W = 0 + midpoint исключён из C5 с пометкой; суррогатный нуль тепловой метрики признан широким (±0.39) — следовая проекция консервативна; «все статистики» подтверждены в объёме тройственности Дайсона, GSE архитектурно недостижима.</w:t>
      </w:r>
    </w:p>
    <w:p>
      <w:pPr>
        <w:pStyle w:val="Heading1"/>
        <w:spacing w:after="140" w:before="320"/>
      </w:pPr>
      <w:bookmarkStart w:name="_Toc20" w:id="20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Реестр честности v2: найдено-и-исправлено</w:t>
      </w:r>
      <w:bookmarkEnd w:id="20"/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Дисциплина v1 («статусы не завышаются, все константы выводятся») продолжена; в v2 опубликованы четыре находки: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1. **B_HADAMARD** в шиппед-коде v1 содержал ln(2π) = 1.8379 вместо ln(4π) = 2.5310. Правильное значение B = −0.0230957 подтверждается закоммиченными вердиктами v1 — ошибка была только в константе файла, не в результатах. Исправлено с пометкой в коде.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2. **Наблюдение T9 v1 уточнено**: полный закон C11 — N₀ = 2L − 6·[L ≡ 0 (mod 12)] — показывает, что моды есть на всех L ≡ 0 (mod 6), включая L = 18 (≡ 2 mod 4); формулировка «торах L ≡ 0 (mod 4)» v1 описывала лишь подсемейство индекса −2.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3. **χ4-кодировка калибровочно тривиальна** — фазовые системы со значениями {0, π} снимаются преобразованием ψ → (−1)^y ψ; измерено совпадение спектров 8.4e-15. Это следствие T12 и честное ограничение класса кодировок.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4. **Метрика r_EF v2** — на детрендированных флуктуациях: сырая корреляция v1 ловит общий тренд двух гладких кривых (любая гладкая D(u) даёт r ≈ 0.99). Нулевой GUE широкий (±0.8) и фиксируется явно; изоспектральный контроль обязан давать r_fluct = 0.999 и даёт.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Кроме того: в проверке T6-машины в K_formula передавались n вместо ln n; полюс a = 0.5 попадал в сетку сплайна; фоновые процессы среды не выживают между вызовами — прогон C12 выполнен сегментами с последующей сборкой. Всё задокументировано в коде и вердиктах.</w:t>
      </w:r>
    </w:p>
    <w:p>
      <w:pPr>
        <w:pStyle w:val="Heading1"/>
        <w:spacing w:after="140" w:before="320"/>
      </w:pPr>
      <w:bookmarkStart w:name="_Toc21" w:id="21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Дорожная карта: оператор, который кодирует нули</w:t>
      </w:r>
      <w:bookmarkEnd w:id="21"/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Направления упорядочены по ожидаемому эффекту на главный измеренный вердикт Г2 (уровень суррогатного нуля в ранговой метрике, ≈0.5–1 по невязке в тепловой) и на главную цель — показать, что оператор Гильберта–Пойа кодирует нули не переупаковкой, а порождением.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Теоретический мост (N1–N3). N1 — доказательство счётного закона T13: N₀ = 2L − 6·[L ≡ 0 (mod 12)] через индекс Кэлера–Дирака и спектральную последовательность тора с флаксом 1/3; кандидаты — Атия–Зингер на решётке, модулярность кривой x³ ≡ ... mod L. N2 — полуцелые характеры: перенос C15 на χ mod 3, 11, 13 и модулярные формы уровня 11 — как далеко тянется универсальность T17. N3 — сшивка через индекс: кэлер-дираковский оператор как кандидат-затвор; несёт ли его тепловой след вес простых (r_EF) при α = 1/3 — единный класс, где арифметика уже вошла в спектр.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Независимость H от нулей (N7). Ключевой фальсифицируемый шаг: строить кандидатов только из арифметики и предсказывать нули вслепую. Три источника кандидатов уже измерены серией: LCM-ядро Λ(lcm(m,n))/√mn (C9/N5 — спектр вырожден, но вес простых в ядре), кэлер-дирак с флаксом 1/3 (T13), дискретизация следовой формулы (окно явной формулы как гамильтониан). Критерии приёма: предсказание новых нулей за пределами подгонки; r_H7 ≥ 0.7 по challenge-протоколу при проходящих позитивных контролях и intact GUE-классе; слепая пиксельная версия — пиксели из арифметики, нули из спектра.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Новые кампании (N4–N6). N4 — полоса T = 50000 той же сегментной машиной (~40× времени C12). N5 — квантовый отклик на индекс: видит ли MI фазовый переход N₀ &gt; 0 ⇔ L ≡ 0 (mod 6) в C16-протоколе. N6 — живой приём подач challenge; первый принятый результат — совместная статья.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Литературные якоря (N8). Программа xp Берри–Кейтинга (1999) и её PT-симметричная версия Бендера–Броди–Мюллера (2017) задают канонический нелокальный кандидат; следовая формула Конна (1999) — прямая родословная T6/T11: спектральная часть следовой конструкции уже измерена серией, а стена локальности — это некоммутативная геометрия, перевернутая на решётку. Вариации xp с взаимодействиями (Сьерра–Таунсенд, 2008) уточняют класс кандидатов. Классические опоры — явная формула Вейля (1952), GUE-конъектура Монтгомери (1973) и вычисления Одлыжко (1987), тройственность Дайсона (1962). Позиция серии в этой карте: единственный пакет, где и следовая сторона (T6/T11/T17), и демаркация локального класса (T7/T15/T16), и арифметика в спектре (T13) измерены на одном конвейере с контролями.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Вердикт канонического издания. Оператор, который чуть не существует, существует ровно настолько, насколько позволяет след: с весом простых — точно (T6, T11), с произвольной нелокальностью — точно, с ко-локацией простых в фазах — точно (T12). Он отказывается существовать локально: 227 измеренных конфигураций пяти семейств и трёх классов не вышли из нулевых зон (T7, T15, T16). Арифметика впервые проявилась в спектре решётки — в счёте нулевых мод дираковского индекса (T13), и разрыв оказался свойством всего класса L-функций (T17). Пиксельный протокол фиксирует дисциплину кодирования: нули переносятся без потерь, но не порождаются. Единственный честный путь вперёд — дорожная карта: строить H из арифметики и предсказывать нули вслепую.</w:t>
      </w:r>
    </w:p>
    <w:sectPr>
      <w:footerReference w:type="default" r:id="rId7"/>
      <w:type w:val="nextPage"/>
      <w:pgSz w:w="11906" w:h="16838" w:orient="portrait"/>
      <w:pgMar w:top="1440" w:right="1417" w:bottom="1440" w:left="1701" w:header="708" w:footer="708" w:gutter="0"/>
      <w:pgNumType w:start="1" w:fmt="decimal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eastAsia="Times New Roman" w:hAnsi="Times New Roman"/>
        <w:color w:val="777E81"/>
        <w:sz w:val="18"/>
        <w:szCs w:val="18"/>
      </w:rPr>
      <w:fldChar w:fldCharType="begin"/>
      <w:instrText xml:space="preserve"> PAGE \* ROMAN \* MERGEFORMAT 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eastAsia="Times New Roman" w:hAnsi="Times New Roman"/>
        <w:color w:val="777E81"/>
        <w:sz w:val="18"/>
        <w:szCs w:val="18"/>
      </w:rPr>
      <w:fldChar w:fldCharType="begin"/>
      <w:instrText xml:space="preserve"> PAGE \* arabic \* MERGEFORMAT 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/>
        <w:color w:val="222526"/>
        <w:sz w:val="21"/>
        <w:szCs w:val="21"/>
      </w:rPr>
    </w:rPrDefault>
    <w:pPrDefault>
      <w:pPr>
        <w:spacing w:line="312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40" w:before="320"/>
      <w:outlineLvl w:val="0"/>
    </w:pPr>
    <w:rPr>
      <w:rFonts w:ascii="Arial" w:eastAsia="Arial" w:hAnsi="Arial"/>
      <w:b/>
      <w:bCs/>
      <w:color w:val="3B4F58"/>
      <w:sz w:val="30"/>
      <w:szCs w:val="30"/>
    </w:rPr>
  </w:style>
  <w:style w:type="paragraph" w:styleId="Heading2">
    <w:pPr>
      <w:outlineLvl w:val="1"/>
    </w:pPr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pPr>
      <w:outlineLvl w:val="2"/>
    </w:pPr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pPr>
      <w:outlineLvl w:val="3"/>
    </w:pPr>
    <w:name w:val="Heading 4"/>
    <w:basedOn w:val="Normal"/>
    <w:next w:val="Normal"/>
    <w:qFormat/>
    <w:rPr>
      <w:i/>
      <w:iCs/>
      <w:color w:val="2E74B5"/>
    </w:rPr>
  </w:style>
  <w:style w:type="paragraph" w:styleId="Heading5">
    <w:pPr>
      <w:outlineLvl w:val="4"/>
    </w:pPr>
    <w:name w:val="Heading 5"/>
    <w:basedOn w:val="Normal"/>
    <w:next w:val="Normal"/>
    <w:qFormat/>
    <w:rPr>
      <w:color w:val="2E74B5"/>
    </w:rPr>
  </w:style>
  <w:style w:type="paragraph" w:styleId="Heading6">
    <w:pPr>
      <w:outlineLvl w:val="5"/>
    </w:pPr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xmlns:w="http://schemas.openxmlformats.org/wordprocessingml/2006/main" w:type="paragraph" w:styleId="9">
    <w:name w:val="toc 1"/>
    <w:basedOn w:val="Normal"/>
    <w:uiPriority w:val="39"/>
    <w:pPr>
      <w:tabs>
        <w:tab w:val="right" w:leader="dot" w:pos="9026"/>
      </w:tabs>
      <w:spacing w:before="120" w:after="60"/>
    </w:pPr>
    <w:rPr>
      <w:b/>
      <w:bCs/>
    </w:rPr>
  </w:style>
  <w:style xmlns:w="http://schemas.openxmlformats.org/wordprocessingml/2006/main" w:type="paragraph" w:styleId="11">
    <w:name w:val="toc 2"/>
    <w:basedOn w:val="Normal"/>
    <w:uiPriority w:val="39"/>
    <w:pPr>
      <w:tabs>
        <w:tab w:val="right" w:leader="dot" w:pos="9026"/>
      </w:tabs>
      <w:ind w:left="360"/>
      <w:spacing w:before="60" w:after="40"/>
    </w:pPr>
  </w:style>
  <w:style xmlns:w="http://schemas.openxmlformats.org/wordprocessingml/2006/main" w:type="paragraph" w:styleId="12">
    <w:name w:val="toc 3"/>
    <w:basedOn w:val="Normal"/>
    <w:uiPriority w:val="39"/>
    <w:pPr>
      <w:tabs>
        <w:tab w:val="right" w:leader="dot" w:pos="9026"/>
      </w:tabs>
      <w:ind w:left="720"/>
      <w:spacing w:before="40" w:after="20"/>
    </w:p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theme" Target="theme/theme1.xml"/><Relationship Id="rId9" Type="http://schemas.openxmlformats.org/officeDocument/2006/relationships/image" Target="media/87ab330b1637b8d88173fc0ae6434fdd5a5a176f.png"/><Relationship Id="rId10" Type="http://schemas.openxmlformats.org/officeDocument/2006/relationships/image" Target="media/bc2c38038217e5d2ba5b964987f8873847d094ed.png"/><Relationship Id="rId11" Type="http://schemas.openxmlformats.org/officeDocument/2006/relationships/image" Target="media/e3adeff7f74436ebe27e0dac42daddf8301ed6b5.png"/><Relationship Id="rId12" Type="http://schemas.openxmlformats.org/officeDocument/2006/relationships/image" Target="media/42e073e25c735b2553c8e5bb88971fe33f9156a5.png"/><Relationship Id="rId13" Type="http://schemas.openxmlformats.org/officeDocument/2006/relationships/image" Target="media/bec3e09bdccf19be68dc462f31603c318713dfc2.png"/><Relationship Id="rId14" Type="http://schemas.openxmlformats.org/officeDocument/2006/relationships/image" Target="media/618bfc8bd4b5cd8285f57b856a31dacc907c56c2.png"/><Relationship Id="rId15" Type="http://schemas.openxmlformats.org/officeDocument/2006/relationships/image" Target="media/4b6effaa7d8a365169fc438cc77fbaa0c0ac5ac8.png"/><Relationship Id="rId16" Type="http://schemas.openxmlformats.org/officeDocument/2006/relationships/image" Target="media/4f92f7201913a22ae311aabffb4fced7086ee4ce.png"/><Relationship Id="rId17" Type="http://schemas.openxmlformats.org/officeDocument/2006/relationships/image" Target="media/770d0da4dae9db1a926c6702cd6efc0c4747d720.png"/><Relationship Id="rId18" Type="http://schemas.openxmlformats.org/officeDocument/2006/relationships/image" Target="media/b9f7cbf282ab55eed7ba4470706d276bd49a3add.png"/><Relationship Id="rId19" Type="http://schemas.openxmlformats.org/officeDocument/2006/relationships/image" Target="media/abf362a1f6d01ea0f25d64766c8a466816fed922.png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Мост Гильберта–Пойа: каноническое изложение</dc:title>
  <dc:creator>Исаев Исхак Хамзатович</dc:creator>
  <dc:description>Шестнадцать кампаний C1–C16, восемнадцать теорем T1–T18, следовая формула Гинанда–Вейля и пиксельный протокол — единая версия пакета</dc:description>
  <cp:lastModifiedBy>Un-named</cp:lastModifiedBy>
  <cp:revision>1</cp:revision>
  <dcterms:created xsi:type="dcterms:W3CDTF">2026-10-14T15:07:59.694Z</dcterms:created>
  <dcterms:modified xsi:type="dcterms:W3CDTF">2026-10-14T15:07:59.694Z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