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V2. Арифметические контрольные модели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Предрегистрированная батарея статистик против пяти семейств нулевых моделей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V2. Арифметические контрольные модели</w:t>
      </w:r>
    </w:p>
    <w:p>
      <w:r>
        <w:rPr>
          <w:color w:val="777E81"/>
          <w:sz w:val="19"/>
        </w:rPr>
        <w:t>Предрегистрированная батарея статистик против пяти семейств нулевых моделей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V02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Статистика GUE широко встречается в системах, не имеющих отношения к дзета-функции: универсальность — аттрактор, а не свидетель. Прежде чем приписывать AB-cloud арифметическую специфичность, нужно измерить, что делает сама хаотичность решётки. Для этого строятся контрольные модели, в которых арифметика разрушена при сохранении геометрии и масштабов.</w:t>
      </w:r>
    </w:p>
    <w:p>
      <w:pPr>
        <w:jc w:val="both"/>
      </w:pPr>
      <w:r>
        <w:t>Ключевая дисциплина кампании — предрегистрация: вектор статистик S = (⟨r⟩, Σ²(L), Δ₃(L), K(t), D_KS) зафиксирован до запусков, метрики не выбираются постфактум, поправка на множественное тестирование — Бонферрони по пяти семействам. Всё это — прямое исполнение Решения 2 исследовательского плана.</w:t>
      </w:r>
    </w:p>
    <w:p>
      <w:pPr>
        <w:pStyle w:val="Heading1"/>
      </w:pPr>
      <w:r>
        <w:rPr>
          <w:rFonts w:ascii="Arial" w:hAnsi="Arial"/>
          <w:color w:val="3B4F58"/>
        </w:rPr>
        <w:t>Метод</w:t>
      </w:r>
    </w:p>
    <w:p>
      <w:pPr>
        <w:jc w:val="both"/>
      </w:pPr>
      <w:r>
        <w:t>Семейства: M0 — исходные затворы протокола (Nv ∈ {0,2,8,16,32}, q = 1, W = 0.5, α = ½); N1 — замена всех фаз связей на случайные U(−π, π]; N3 — геометрия без вихрей (чистый Хофштадтер с беспорядком); N4 — случайные позиции вихрей вне протокола; плюс эталонные ансамбли GUE, GOE и Пуассона той же размерности 576. Для каждой модели измеряется полный вектор S на окне 200 развёрнутых уровней.</w:t>
      </w:r>
    </w:p>
    <w:p>
      <w:pPr>
        <w:jc w:val="both"/>
      </w:pPr>
      <w:r>
        <w:t>Эталон D_KS строится ансамблево: объединённая выборка {r_n} шестнадцати GUE-матриц (3168 значений) служит эмпирическим GUE-эталоном, а не сюрмиза промежутков — это снимает систематику малых окон.</w:t>
      </w:r>
    </w:p>
    <w:p>
      <w:pPr>
        <w:spacing w:before="160"/>
      </w:pPr>
      <w:r>
        <w:t>Таблица 1. Лестница моделей (⟨r⟩ и D_KS к GUE)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Модель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⟨r⟩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D_KS → GUE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Класс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M0 AB-cloud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0.6093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0.0499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N1 случайные фазы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0.5837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0.0925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N3 без вихрей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0.2733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0.5518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промежуточный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N4 случайные позиции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0.6181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0.0492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эталон GUE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0.5984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0.0622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GUE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эталон GOE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0.5256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0.1622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GOE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эталон Пуассон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0.4198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0.3150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Пуассон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Результаты и интерпретация</w:t>
      </w:r>
    </w:p>
    <w:p>
      <w:pPr>
        <w:jc w:val="both"/>
      </w:pPr>
      <w:r>
        <w:t>AB-cloud попадает в GUE-класс вместе с N1 и N4: vortex-механика достаточна для хаотизации, но не специфична — точно то, что ожидается от универсальности. Модель N3 (без вихрей) остаётся в промежуточной зоне: полфлакса сами по себе не дают полной хаотизации на конечной решётке. Эталонная лестница Пуассон → GOE → GUE воспроизведена, что валидирует саму измерительную батарею.</w:t>
      </w:r>
    </w:p>
    <w:p>
      <w:pPr>
        <w:jc w:val="both"/>
      </w:pPr>
      <w:r>
        <w:t>Отсюда следует методологическое ограничение всей серии: ⟨r⟩ и D_KS не несут арифметической информации — специфичность ищется только в арифметически-чувствительных метриках следового уровня (V7) и в обратной задаче (V10). Это разделение признаков — центральный методологический вывод плана, и V2 его обеспечивает.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V2 (600 dpi, файл figures_hires).</w:t>
      </w:r>
    </w:p>
    <w:p>
      <w:pPr>
        <w:jc w:val="both"/>
      </w:pPr>
      <w:r>
        <w:t>Батарея предрегистрированных метрик построена; класс AB-cloud — GUE, как у любой достаточно хаотической вихревой решётки. Дальнейшие заявления об арифметике обязаны проходить через следовые метрики.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