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V13. Формализация ключевых теорем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DAG обязательств и блокировка вывода RH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V13. Формализация ключевых теорем</w:t>
      </w:r>
    </w:p>
    <w:p>
      <w:r>
        <w:rPr>
          <w:color w:val="777E81"/>
          <w:sz w:val="19"/>
        </w:rPr>
        <w:t>DAG обязательств и блокировка вывода RH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V13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Формальная проверка ценна не тем, что находит доказательство RH, а тем, что точно отделяет доказанные утверждения от численных наблюдений и недоказанных предпосылок. План требует машину обязательств, которая блокирует вывод RH, пока не доказаны все аналитические предпосылки.</w:t>
      </w:r>
    </w:p>
    <w:p>
      <w:pPr>
        <w:jc w:val="both"/>
      </w:pPr>
      <w:r>
        <w:t>Реализация: DAG из 12 узлов с типами proven / computed / assumed / external; каждый узел ссылается на артефакт (монографию теоремы, тест, вычисление). Проверки: корректность ссылок, ацикличность, и главное — статус пути к RH.</w:t>
      </w:r>
    </w:p>
    <w:p>
      <w:pPr>
        <w:pStyle w:val="Heading1"/>
      </w:pPr>
      <w:r>
        <w:rPr>
          <w:rFonts w:ascii="Arial" w:hAnsi="Arial"/>
          <w:color w:val="3B4F58"/>
        </w:rPr>
        <w:t>Формальные источники</w:t>
      </w:r>
    </w:p>
    <w:p>
      <w:pPr>
        <w:jc w:val="both"/>
      </w:pPr>
      <w:r>
        <w:t>formal/ содержит спецификации четырёх систем — Lean 4, Coq, Agda, Isabelle/HOL (портативные исходники; компиляция — открытое обязательство O-lean, поскольку требует тулчейнов вне пакета). Обязательства Lean-уровня: эрмитовость конечной матрицы, вещественность спектра, критерий дефектных индексов, Tr(AB) = Tr(BA) — скелет, на который опирается DAG.</w:t>
      </w:r>
    </w:p>
    <w:p>
      <w:pPr>
        <w:jc w:val="both"/>
      </w:pPr>
      <w:r>
        <w:t>Машина обязательств (rpbridge/formaloblig.py) исполняется в каждом прогоне тестов: она не «доказывает», а ГАРАНТИРУЕТ, что ни один численный результат не будет автоматически поднят до статуса теоремы. На текущем DAG путь O01 → O12 к RH содержит 4 assumed-узла и 3 computed — вывод заблокирован.</w:t>
      </w:r>
    </w:p>
    <w:p>
      <w:pPr>
        <w:pStyle w:val="Heading1"/>
      </w:pPr>
      <w:r>
        <w:rPr>
          <w:rFonts w:ascii="Arial" w:hAnsi="Arial"/>
          <w:color w:val="3B4F58"/>
        </w:rPr>
        <w:t>Топология блокировки</w:t>
      </w:r>
    </w:p>
    <w:p>
      <w:pPr>
        <w:jc w:val="both"/>
      </w:pPr>
      <w:r>
        <w:t>Вердикт машины: «RH: blocked», блокеров — 7. Это не поражение, а точная карта работы: каждый блокер — сформулированная математическая задача с известным артефактом, в который нужно вернуться. Именно так формальный слой превращает амбициозную программу в конечный список обязательств.</w:t>
      </w:r>
    </w:p>
    <w:p>
      <w:pPr>
        <w:spacing w:before="160"/>
      </w:pPr>
      <w:r>
        <w:t>Таблица 1. Критические узлы пути к RH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Узел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O05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computed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эмпирический закон ошибки L→∞ (V5)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O07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computed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следовая формула: численная верификация (V7)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O08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assumed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гипотеза: spec H_L → spec H_ξ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O09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assumed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гипотеза: λ_n(AB) → λ_n(ξ)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O11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assumed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положительность λ_n для всех n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O12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assumed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вывод RH из критерия Ли (классика)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Классификация статусов — сама по себе содержательное утверждение: грань между доказанным и вычисленным проводится вручную и может ошибаться в обе стороны. Против завышения работает аудит V14 (запрет p-значений в роли доказательств); против занижения — трассировка каждого proven-узла к монографии с полным выводом.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V13 (600 dpi, файл figures_hires).</w:t>
      </w:r>
    </w:p>
    <w:p>
      <w:pPr>
        <w:jc w:val="both"/>
      </w:pPr>
      <w:r>
        <w:t>Машина обязательств построена и исполняется; вывод RH заблокирован честно и автоматически. Формальный слой — страж дисциплины статусов всей серии.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