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V14. Automatic Audit of Claims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The five mandatory parts of every result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V14. Automatic Audit of Claims</w:t>
      </w:r>
    </w:p>
    <w:p>
      <w:r>
        <w:rPr>
          <w:color w:val="777E81"/>
          <w:sz w:val="19"/>
        </w:rPr>
        <w:t>The five mandatory parts of every result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V14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plan fixes the protocol: every new experiment must contain (1) an exact mathematical statement, (2) the list of premises, (3) a numerical result with reproducible code, (4) control models and a sensitivity analysis, (5) the list of what the result does NOT prove. The cautionary examples matter: p_KS = 0.27 does not “prove GUE”, and ‖H−H†‖ &lt; 1e-14 for a finite matrix does not prove self-adjointness of an infinite-dimensional operator.</w:t>
      </w:r>
    </w:p>
    <w:p>
      <w:pPr>
        <w:jc w:val="both"/>
      </w:pPr>
      <w:r>
        <w:t>The campaign implements this protocol as executable infrastructure: a claim-JSON schema, an auditor, and 15 claim files — one per campaign of the series.</w:t>
      </w:r>
    </w:p>
    <w:p>
      <w:pPr>
        <w:pStyle w:val="Heading1"/>
      </w:pPr>
      <w:r>
        <w:rPr>
          <w:rFonts w:ascii="Arial" w:hAnsi="Arial"/>
          <w:color w:val="3B4F58"/>
        </w:rPr>
        <w:t>Schema and checks</w:t>
      </w:r>
    </w:p>
    <w:p>
      <w:pPr>
        <w:jc w:val="both"/>
      </w:pPr>
      <w:r>
        <w:t>A1 — form: all five parts present and non-empty. A2 — status hygiene: the status vocabulary (proven/measured/conjecture/refuted); the “proven” status requires at least one passed control AND a non-empty list of non-implications; p-values are banned as justification of “proven”. A3 — coverage: every verdict data/v*_verdict.json must have a claim file.</w:t>
      </w:r>
    </w:p>
    <w:p>
      <w:pPr>
        <w:jc w:val="both"/>
      </w:pPr>
      <w:r>
        <w:t>The auditor runs in the package tests: an audit regression is a release stopper, as in the reference.</w:t>
      </w:r>
    </w:p>
    <w:p>
      <w:pPr>
        <w:spacing w:before="160"/>
      </w:pPr>
      <w:r>
        <w:t>Table 1. Status registry of the 19 campaigns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592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Campaigns</w:t>
            </w:r>
          </w:p>
        </w:tc>
      </w:tr>
      <w:tr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V4 (Th1), V7 (Th6), V8 (Th2), V9 (Th5), V12 (Th3), V15 (Th4)</w:t>
            </w:r>
          </w:p>
        </w:tc>
      </w:tr>
      <w:tr>
        <w:tc>
          <w:tcPr>
            <w:tcW w:type="dxa" w:w="4592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measured</w:t>
            </w:r>
          </w:p>
        </w:tc>
        <w:tc>
          <w:tcPr>
            <w:tcW w:type="dxa" w:w="4592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V1, V2, V3, V5, V6, V10, V11, V13, V14, V16, V17, V18, V19</w:t>
            </w:r>
          </w:p>
        </w:tc>
      </w:tr>
      <w:tr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conjecture / refuted</w:t>
            </w:r>
          </w:p>
        </w:tc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 (conjectures live in the V13 DAG with status assumed)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Verdict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V14 data (600 dpi, file figures_hires).</w:t>
      </w:r>
    </w:p>
    <w:p>
      <w:pPr>
        <w:jc w:val="both"/>
      </w:pPr>
      <w:r>
        <w:t>The audit passes: 19/19 claims per the schema (V19 included in v1.1.0), full coverage, status hygiene observed. Every public statement of the package is traced to a computation, a control and a list of non-implications.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