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11906"/>
            <w:shd w:val="clear" w:fill="2E3F49"/>
          </w:tcPr>
          <w:p>
            <w:r/>
          </w:p>
          <w:p>
            <w:pPr>
              <w:spacing w:before="1280" w:after="120"/>
              <w:ind w:left="1134"/>
              <w:jc w:val="left"/>
            </w:pPr>
            <w:r>
              <w:rPr>
                <w:rFonts w:ascii="Arial" w:hAnsi="Arial"/>
                <w:b w:val="0"/>
                <w:color w:val="7FB6C9"/>
                <w:sz w:val="18"/>
              </w:rPr>
              <w:t>AB CLOUD QUANTUM RESEARCH · MONOGRAPH SERIES</w:t>
            </w:r>
          </w:p>
          <w:p>
            <w:pPr>
              <w:spacing w:before="560" w:after="120"/>
              <w:ind w:left="1134"/>
              <w:jc w:val="left"/>
            </w:pPr>
            <w:r>
              <w:rPr>
                <w:rFonts w:ascii="Arial" w:hAnsi="Arial"/>
                <w:b/>
                <w:color w:val="C96F4A"/>
                <w:sz w:val="20"/>
              </w:rPr>
              <w:t>Volume Appendix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/>
                <w:color w:val="F0F4F5"/>
                <w:sz w:val="52"/>
              </w:rPr>
              <w:t>Appendix: Methods, Data, Reproducibility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 w:val="0"/>
                <w:color w:val="B7C6CC"/>
                <w:sz w:val="24"/>
              </w:rPr>
              <w:t>Protocols of the series V1–V18: lattice, unfolding, statistics, the trace pipeline, certificates, thresholds and machine floors</w:t>
            </w:r>
          </w:p>
          <w:p>
            <w:pPr>
              <w:spacing w:before="280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4"/>
              </w:rPr>
              <w:t>Ishak Khamzatovich Isaev</w:t>
            </w:r>
          </w:p>
          <w:p>
            <w:pPr>
              <w:spacing w:before="12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0"/>
              </w:rPr>
              <w:t>Independent researcher, Nalchik, Kabardino-Balkarian Republic</w:t>
            </w:r>
          </w:p>
          <w:p>
            <w:pPr>
              <w:spacing w:before="1280" w:after="960"/>
              <w:ind w:left="1134"/>
              <w:jc w:val="left"/>
            </w:pPr>
            <w:r>
              <w:rPr>
                <w:rFonts w:ascii="Arial" w:hAnsi="Arial"/>
                <w:b w:val="0"/>
                <w:color w:val="93A7AE"/>
                <w:sz w:val="18"/>
              </w:rPr>
              <w:t>AB Research Program · monograph series V1–V19 · v1.2.0 · October 10, 2026</w:t>
            </w:r>
          </w:p>
        </w:tc>
      </w:tr>
    </w:tbl>
    <w:p>
      <w:r>
        <w:br w:type="page"/>
      </w:r>
    </w:p>
    <w:p>
      <w:pPr>
        <w:sectPr>
          <w:footerReference w:type="default" r:id="rId9"/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Contents</w:t>
      </w:r>
    </w:p>
    <w:p>
      <w:fldChar w:fldCharType="begin"/>
      <w:instrText xml:space="preserve"> TOC \o "1-1" \h \z \u </w:instrText>
      <w:fldChar w:fldCharType="separate"/>
      <w:t>Update the field (F9) to build the table of contents.</w:t>
      <w:fldChar w:fldCharType="end"/>
    </w:p>
    <w:p>
      <w:r>
        <w:br w:type="page"/>
      </w:r>
    </w:p>
    <w:p>
      <w:pPr>
        <w:sectPr>
          <w:pgSz w:w="11906" w:h="16838"/>
          <w:pgMar w:top="1247" w:right="1361" w:bottom="1247" w:left="1361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Appendix: Methods, Data, Reproducibility</w:t>
      </w:r>
    </w:p>
    <w:p>
      <w:r>
        <w:rPr>
          <w:color w:val="777E81"/>
          <w:sz w:val="19"/>
        </w:rPr>
        <w:t>Protocols of the series V1–V18: lattice, unfolding, statistics, the trace pipeline, certificates, thresholds and machine floors</w:t>
      </w:r>
    </w:p>
    <w:p>
      <w:r>
        <w:rPr>
          <w:color w:val="777E81"/>
          <w:sz w:val="19"/>
        </w:rPr>
        <w:t>Ishak Khamzatovich Isaev · Independent researcher, Nalchik, Kabardino-Balkarian Republic</w:t>
      </w:r>
    </w:p>
    <w:p>
      <w:r>
        <w:rPr>
          <w:color w:val="777E81"/>
          <w:sz w:val="19"/>
        </w:rPr>
        <w:t>AB Research Program · monograph series V1–V19 · Volume Appendix · v1.2.0 · October 10, 2026</w:t>
      </w:r>
    </w:p>
    <w:p>
      <w:pPr>
        <w:pStyle w:val="Heading1"/>
      </w:pPr>
      <w:r>
        <w:rPr>
          <w:rFonts w:ascii="Arial" w:hAnsi="Arial"/>
          <w:color w:val="3B4F58"/>
        </w:rPr>
        <w:t>A.1 Lattice and gates</w:t>
      </w:r>
    </w:p>
    <w:p>
      <w:pPr>
        <w:jc w:val="both"/>
      </w:pPr>
      <w:r>
        <w:t>The AB-cloud Hamiltonian: a Hermitian Hofstadter-type L×L lattice at half flux (α = ½ — the self-dual line of the discretized massless Dirac equation), vortex phases θ_k = atan2, on-site disorder W. Vortex protocol: cell centers (ix+0.5, iy+0.5), independent sampling, neutral charges. Series master seed 96; vortex RNG — seed + 3500, disorder — seed + 3501. The full handle space (V16): charge signs, vortex profile (site/midpoint), anisotropy t_x/t_y, staggered mass, twists (φx, φy), flux shift δα — a 96-configuration factorial design.</w:t>
      </w:r>
    </w:p>
    <w:p>
      <w:pPr>
        <w:jc w:val="both"/>
      </w:pPr>
      <w:r>
        <w:t>Spectral pipeline: eigvalsh (driver evr) → central band 60% (fld arithmetic) → polynomial unfolding (degrees 6→3, piecewise-linear fallback) → 200-level window. Bit-exact reproduction of the reference C3 protocol: 1.45e-16.</w:t>
      </w:r>
    </w:p>
    <w:p>
      <w:pPr>
        <w:pStyle w:val="Heading1"/>
      </w:pPr>
      <w:r>
        <w:rPr>
          <w:rFonts w:ascii="Arial" w:hAnsi="Arial"/>
          <w:color w:val="3B4F58"/>
        </w:rPr>
        <w:t>A.2 Statistics and references</w:t>
      </w:r>
    </w:p>
    <w:p>
      <w:pPr>
        <w:jc w:val="both"/>
      </w:pPr>
      <w:r>
        <w:t>The vector S = (⟨r⟩, Σ²(L), Δ₃(L), K(t), D_KS) is pre-registered. The GUE reference for D_KS is empirical (an ensemble of 16 matrices 576×576, a pooled sample of 3168 {r_n} values); reference ladders: Poisson 2ln2−1 ≈ 0.386, GOE ≈ 0.531, GUE ≈ 0.600. The ζ zeros — the Odlyzko file of 50,000 ordinates (SHA-256 in data/README.md); the smooth count N̄(γ) = γ/2π·ln(γ/2πe) + 5/8. The algebraic function of the critical line (V16): Z_id(t) = e^{iθ(t)}ζ(½+it), θ(t) = Im ln Γ(¼+it/2) − t·ln√π; the Γ-closures |Γ(½+iu)|² = π/cosh πu, |Γ(iu)|² = π/(u·sinh πu), the Legendre product |Γ(¼+iu)|·|Γ(¾+iu)| — residuals ~1.3e-39 at dps 40.</w:t>
      </w:r>
    </w:p>
    <w:p>
      <w:pPr>
        <w:jc w:val="both"/>
      </w:pPr>
      <w:r>
        <w:t>The trace pipeline: Q(a) — a spline of the mpmath grid [0, 1.5] (601 nodes, the pole a = ½ shifted); the prime part — the Λ(n) sieve to 2·10⁶ (cached), tail ≤ 1e-6; the smooth part — exact Si/Ci forms; PC0 — the recipe u·Σ e^{−u·N̄(γ)} − (1−e^{−uX}), U ∈ [0.05, 1.0], 40 points.</w:t>
      </w:r>
    </w:p>
    <w:p>
      <w:pPr>
        <w:pStyle w:val="Heading1"/>
      </w:pPr>
      <w:r>
        <w:rPr>
          <w:rFonts w:ascii="Arial" w:hAnsi="Arial"/>
          <w:color w:val="3B4F58"/>
        </w:rPr>
        <w:t>A.3 Certificates and thresholds</w:t>
      </w:r>
    </w:p>
    <w:p>
      <w:pPr>
        <w:jc w:val="both"/>
      </w:pPr>
      <w:r>
        <w:t>The interval layer: Gershgorin in fractions (limit_denominator 1e12), residuals in mpmath dps = 40, the gap exact. The data license layer: the zero file is the only external data; all verdicts are committed and independent of fresh recomputations.</w:t>
      </w:r>
    </w:p>
    <w:p>
      <w:pPr>
        <w:jc w:val="both"/>
      </w:pPr>
      <w:r>
        <w:t>The threshold table (threshold → fact): hermiticity 1e-12 → 0.0; residuals 1e-11 → 8.8e-15; M0 1e-6 → 4.6e-8; M1 5e-5 → 6.9e-6; PC0 0.99 → 0.9996; Th4 1e-9 → 4.4e-11; reduction 1e-9 → 7.1e-15; unitarity 1e-12 → 2.2e-16; blind z &gt; 3 → 0.09; V18 gates 1e-9 → 2e-16; V18 entanglement &gt; 0.5 → 0.984; V17 energy 1e-12 → 1.8e-15.</w:t>
      </w:r>
    </w:p>
    <w:p>
      <w:pPr>
        <w:pStyle w:val="Heading1"/>
      </w:pPr>
      <w:r>
        <w:rPr>
          <w:rFonts w:ascii="Arial" w:hAnsi="Arial"/>
          <w:color w:val="3B4F58"/>
        </w:rPr>
        <w:t>A.4 Reproducibility</w:t>
      </w:r>
    </w:p>
    <w:p>
      <w:pPr>
        <w:jc w:val="both"/>
      </w:pPr>
      <w:r>
        <w:t>Self-build: make tour (a tour over the committed verdicts), make test (pytest), make ivp (independent verification), make figures / monographs / workbook (artifact regeneration), make all. A fresh full recomputation of V1–V18: python3 scripts/compute_all.py and python3 scripts/compute_v161718.py (~10 minutes total; the zero file is included in the package). The web lab — web_lab/index.html, a self-contained file without external dependencies, including a playable AB-Pong.</w:t>
      </w:r>
    </w:p>
    <w:p>
      <w:pPr>
        <w:jc w:val="both"/>
      </w:pPr>
      <w:r>
        <w:t>Every campaign is deterministic: fixed seeds, cached sieves, fixed grids. A divergence of a fresh run from the committed verdicts is a release stopper (the test_repro test).</w:t>
      </w:r>
    </w:p>
    <w:p>
      <w:pPr>
        <w:jc w:val="both"/>
      </w:pPr>
      <w:r>
        <w:t>The appendix records all protocol decisions needed for an independent reproduction of the series V1–V18.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777E81"/>
        <w:sz w:val="18"/>
      </w:rPr>
      <w:fldChar w:fldCharType="begin"/>
      <w:instrText xml:space="preserve"> PAGE \* arabic \* MERGEFORMAT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