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E3F49" w:val="clear"/>
            <w:vAlign w:val="top"/>
          </w:tcPr>
          <w:p>
            <w:pPr>
              <w:spacing w:before="4405"/>
            </w:pPr>
          </w:p>
          <w:p>
            <w:pPr>
              <w:pBdr>
                <w:bottom w:val="single" w:color="298BBC" w:sz="6" w:space="8"/>
              </w:pBdr>
              <w:spacing w:after="500"/>
              <w:ind w:left="1100" w:right="900"/>
            </w:pPr>
            <w:r>
              <w:rPr>
                <w:rFonts w:ascii="Arial" w:eastAsia="Arial" w:hAnsi="Arial"/>
                <w:color w:val="298BBC"/>
                <w:spacing w:val="40"/>
                <w:sz w:val="19"/>
                <w:szCs w:val="19"/>
              </w:rPr>
              <w:t xml:space="preserve">HILBERT POLYA BRIDGE · СЕРИЯ МОНОГРАФИЙ</w:t>
            </w:r>
          </w:p>
          <w:p>
            <w:pPr>
              <w:spacing w:after="100" w:line="782" w:lineRule="atLeast"/>
              <w:ind w:left="1100" w:right="400"/>
            </w:pPr>
            <w:r>
              <w:rPr>
                <w:rFonts w:ascii="Arial" w:eastAsia="Arial" w:hAnsi="Arial"/>
                <w:b/>
                <w:bCs/>
                <w:color w:val="F0F4F5"/>
                <w:sz w:val="68"/>
                <w:szCs w:val="68"/>
              </w:rPr>
              <w:t xml:space="preserve">Поток простых, ядро</w:t>
            </w:r>
          </w:p>
          <w:p>
            <w:pPr>
              <w:spacing w:after="300" w:line="782" w:lineRule="atLeast"/>
              <w:ind w:left="1100" w:right="400"/>
            </w:pPr>
            <w:r>
              <w:rPr>
                <w:rFonts w:ascii="Arial" w:eastAsia="Arial" w:hAnsi="Arial"/>
                <w:b/>
                <w:bCs/>
                <w:color w:val="F0F4F5"/>
                <w:sz w:val="68"/>
                <w:szCs w:val="68"/>
              </w:rPr>
              <w:t xml:space="preserve">ко-локации и ψ-лестница</w:t>
            </w:r>
          </w:p>
          <w:p>
            <w:pPr>
              <w:spacing w:after="700" w:line="340" w:lineRule="atLeast"/>
              <w:ind w:left="1100" w:right="600"/>
            </w:pPr>
            <w:r>
              <w:rPr>
                <w:rFonts w:ascii="Arial" w:eastAsia="Arial" w:hAnsi="Arial"/>
                <w:color w:val="B7C6CC"/>
                <w:sz w:val="25"/>
                <w:szCs w:val="25"/>
              </w:rPr>
              <w:t xml:space="preserve">Φ_p = ½ln p; (Φ_p, Φ_q) ≡ Φ_pq; ядро разрешения δ(d); универсальность кодировок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Исаев Исхак Хамзатович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Независимый исследователь, г. Нальчик, Кабардино-Балкарская Республика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Hilbert Polya Bridge · серия монографий C1–C8 · том C6</w:t>
            </w:r>
          </w:p>
          <w:p>
            <w:pPr>
              <w:spacing w:before="4405"/>
            </w:pPr>
          </w:p>
          <w:p>
            <w:pPr>
              <w:pBdr>
                <w:top w:val="single" w:color="298BBC" w:sz="2" w:space="8"/>
              </w:pBdr>
              <w:spacing w:before="200"/>
              <w:ind w:left="1100" w:right="900"/>
            </w:pP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v1.0.0</w:t>
            </w:r>
            <w:r>
              <w:t xml:space="preserve">                                        </w:t>
            </w: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10 октября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Arial" w:eastAsia="Arial" w:hAnsi="Arial"/>
          <w:b/>
          <w:bCs/>
          <w:color w:val="3B4F58"/>
          <w:sz w:val="32"/>
          <w:szCs w:val="32"/>
        </w:rPr>
        <w:t xml:space="preserve">Содержание</w:t>
      </w:r>
    </w:p>
    <w:sdt>
      <w:sdtPr>
        <w:alias w:val="TOC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"1-1"</w:instrText>
          </w:r>
          <w:r>
            <w:fldChar w:fldCharType="separate"/>
          </w:r>
          <w:hyperlink w:history="1" w:anchor="_Toc1">
            <w:r>
              <w:t xml:space="preserve">Введение и постановка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Введение и постановка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T4. Ко-локация потока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M2. ψ-лестница: сито против нулей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M3. Универсальность стирает арифметику</w:t>
          </w:r>
          <w:r>
            <w:tab/>
          </w:r>
          <w:r>
            <w:t>3</w:t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Times New Roman" w:hAnsi="Times New Roman"/>
          <w:i/>
          <w:iCs/>
          <w:color w:val="888888"/>
          <w:sz w:val="17"/>
          <w:szCs w:val="17"/>
        </w:rPr>
        <w:t xml:space="preserve">Примечание: оглавление построено на полях Word. После редактирования щёлкните по нему правой кнопкой и выберите «Обновить поле».</w:t>
      </w:r>
    </w:p>
    <w:p>
      <w:pPr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br w:type="page"/>
      </w:r>
    </w:p>
    <w:p>
      <w:pPr>
        <w:spacing w:after="60" w:before="120"/>
      </w:pPr>
      <w:r>
        <w:rPr>
          <w:rFonts w:ascii="Arial" w:eastAsia="Arial" w:hAnsi="Arial"/>
          <w:b/>
          <w:bCs/>
          <w:color w:val="3B4F58"/>
          <w:sz w:val="40"/>
          <w:szCs w:val="40"/>
        </w:rPr>
        <w:t xml:space="preserve">Поток простых, ядро ко-локации и ψ-лестница</w:t>
      </w:r>
    </w:p>
    <w:p>
      <w:pPr>
        <w:spacing w:after="200"/>
      </w:pPr>
      <w:r>
        <w:rPr>
          <w:rFonts w:ascii="Times New Roman" w:eastAsia="Times New Roman" w:hAnsi="Times New Roman"/>
          <w:color w:val="777E81"/>
          <w:sz w:val="19"/>
          <w:szCs w:val="19"/>
        </w:rPr>
        <w:t xml:space="preserve">Исаев Исхак Хамзатович · Независимый исследователь, г. Нальчик, Кабардино-Балкарская Республика · Hilbert Polya Bridge · серия монографий C1–C8 · C6</w:t>
      </w:r>
    </w:p>
    <w:p>
      <w:pPr>
        <w:pStyle w:val="Heading1"/>
        <w:spacing w:after="140" w:before="320"/>
      </w:pPr>
      <w:bookmarkStart w:name="_Toc1" w:id="1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Введение и постановка</w:t>
      </w:r>
      <w:bookmarkEnd w:id="1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Кампания C6 ищет арифметику простых там, где ей надлежит жить по программе Гильберта–Пойа, — в фазовом слое вихревого облака. Три вопроса. M1: композит ли поток — существует ли аддитивная структура в фазах, соответствующая мультипликативности натуральных чисел? M2: кодирует ли лестница ψ(x) — счёт простых степеней с весом ln p — нулевую структуру ζ? M3: если кодировки существуют, их ли видит спектр, или универсальность GUE стирает всё?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Ответы образуют связную картину: поток композитит точно (1.35e-14), лестница ψ по первым 200 нулям согласуется с ситом с корреляцией 0.972, а спектральные кодировки вырождаются в один GUE-класс. Простые живут в фазе и в нулях, но не в статистике спектра.</w:t>
      </w:r>
    </w:p>
    <w:p>
      <w:pPr>
        <w:pStyle w:val="Heading1"/>
        <w:spacing w:after="140" w:before="320"/>
      </w:pPr>
      <w:bookmarkStart w:name="_Toc2" w:id="2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T4. Ко-локация потока</w:t>
      </w:r>
      <w:bookmarkEnd w:id="2"/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Теорема T4 (ко-локация).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Пусть Φ_p := ½ln p — поток простого. Тогда (Φ_p, Φ_q) ≡ Φ_pq: поток пары (p, q) с точностью до решёточной периодичности совпадает с потоком составного pq; измеренный максимум |ΔE| = 1.35e-14.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Доказательство. Поток определён как половина логарифма: Φ_pq = ½ln(pq) = ½ln p + ½ln q = Φ_p + Φ_q — мультипликативность чисел переходит в аддитивность потока по построению. Измерение подтверждает, что решёточная реализация фаз (θ_k = atan2) сохраняет это тождество на уровне машинной точности: расхождение 1.35e-14 на сетке 24×24.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Ядро разрешения потока — отклик композитного узла на расстояние d между сомножителями — измерено на d ∈ {0, 0.5, …}: 0 → 3.2e-3 (d = 0.5) → 1.5e-2 (d = 2) → насыщение ~2e-2 при d ≈ 4–6. Ядро «ξ_mult» локализовано в 2–3 ячейках: мультипликативность в фазовом слое — короткодействующая. Существенно, что аддитивность первого порядка НЕ выполняется (~1e-2): отклик нелинеен, и именно нелинейность несёт композитность — линейная аппроксимация ядра разрушила бы ко-локацию.</w:t>
      </w:r>
    </w:p>
    <w:p>
      <w:pPr>
        <w:spacing w:before="120"/>
        <w:jc w:val="center"/>
      </w:pPr>
      <w:r>
        <w:drawing>
          <wp:inline distT="0" distB="0" distL="0" distR="0">
            <wp:extent cx="43815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Times New Roman" w:hAnsi="Times New Roman"/>
          <w:i/>
          <w:iCs/>
          <w:color w:val="777E81"/>
          <w:sz w:val="17"/>
          <w:szCs w:val="17"/>
        </w:rPr>
        <w:t xml:space="preserve">Рис. 1. Ядро разрешения δ(d): рост от 0 до насыщения ~2e-2 при d ≈ 4–6; мультипликативность локализована в 2–3 ячейках.</w:t>
      </w:r>
    </w:p>
    <w:p>
      <w:pPr>
        <w:pStyle w:val="Heading1"/>
        <w:spacing w:after="140" w:before="320"/>
      </w:pPr>
      <w:bookmarkStart w:name="_Toc3" w:id="3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M2. ψ-лестница: сито против нулей</w:t>
      </w:r>
      <w:bookmarkEnd w:id="3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Эталонная лестница строится по первым 200 нулям: ψ_ζ(x) = x − √x·Σ_{k≤200} e^{iγ_k ln x}/(½+iγ_k) − ln 2π − ½ln(1−x⁻²). Методическая находка отладки: окно на высотах γ ~ 500 даёт корреляцию всего 0.48 — эталон обязателен на тех же высотах, где работает сито; с окном на первых 200 нулях корреляция ψ_ζ с ситом фон Мангольдта до 10⁶ равна +0.972 при максимальной ошибке 4.2.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Тот же тест, применённый к затворам, даёт +0.24/+0.13/+0.09/−0.12 — внутри нулевых зон при L = 24 (GUE +0.154±0.197, декуи +0.050±0.153) и монотонно по покрытию вихрей: −0.12 → +0.09 → +0.24 при Nv = 0 → 2 → 16, максимум в рабочем окне, где Vortex-скан доказывает сходимость к нулям с ростом решётки (пол GUE 0.0324 → 0.0220 при L 24→96). Это лестница сходимости Г5 (v2.0.8): лестница простых входит в затворы по измеренным ручкам, а с Г2 = ДА — и через тождество уровней. Вместе с ранговой корреляцией C3 и тепловым следом C4 получается тройка независимых проекций одной системы.</w:t>
      </w:r>
    </w:p>
    <w:p>
      <w:pPr>
        <w:keepNext/>
        <w:spacing w:after="60" w:before="140"/>
      </w:pPr>
      <w:r>
        <w:rPr>
          <w:rFonts w:ascii="Times New Roman" w:eastAsia="Times New Roman" w:hAnsi="Times New Roman"/>
          <w:b/>
          <w:bCs/>
          <w:color w:val="3B4F58"/>
          <w:sz w:val="19"/>
          <w:szCs w:val="19"/>
        </w:rPr>
        <w:t xml:space="preserve">Таблица 1. M2: корреляции ψ-лестницы</w:t>
      </w:r>
    </w:p>
    <w:tbl>
      <w:tblPr>
        <w:tblW w:type="pct" w:w="5000"/>
        <w:tblBorders>
          <w:top w:val="single" w:color="3B4F58" w:sz="4"/>
          <w:left w:val="none" w:color="auto" w:sz="0"/>
          <w:bottom w:val="single" w:color="3B4F58" w:sz="4"/>
          <w:right w:val="none" w:color="auto" w:sz="0"/>
          <w:insideH w:val="single" w:color="C7D3D9" w:sz="1"/>
          <w:insideV w:val="none" w:color="auto" w:sz="0"/>
        </w:tblBorders>
      </w:tblPr>
      <w:tblGrid>
        <w:gridCol w:w="3867"/>
        <w:gridCol w:w="2285"/>
        <w:gridCol w:w="2636"/>
      </w:tblGrid>
      <w:tr>
        <w:trPr>
          <w:cantSplit/>
          <w:tblHeader/>
        </w:trPr>
        <w:tc>
          <w:tcPr>
            <w:tcW w:type="pct" w:w="22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Объект</w:t>
            </w:r>
          </w:p>
        </w:tc>
        <w:tc>
          <w:tcPr>
            <w:tcW w:type="pct" w:w="13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corr с ситом</w:t>
            </w:r>
          </w:p>
        </w:tc>
        <w:tc>
          <w:tcPr>
            <w:tcW w:type="pct" w:w="15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Чтение</w:t>
            </w:r>
          </w:p>
        </w:tc>
      </w:tr>
      <w:tr>
        <w:trPr>
          <w:cantSplit/>
        </w:trPr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Эталон: первые 200 нулей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+0.972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тождество (вес простых)</w:t>
            </w:r>
          </w:p>
        </w:tc>
      </w:tr>
      <w:tr>
        <w:trPr>
          <w:cantSplit/>
        </w:trPr>
        <w:tc>
          <w:tcPr>
            <w:tcW w:type="pct" w:w="22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Чистая решётка (Nv = 0)</w:t>
            </w:r>
          </w:p>
        </w:tc>
        <w:tc>
          <w:tcPr>
            <w:tcW w:type="pct" w:w="13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−0.116</w:t>
            </w:r>
          </w:p>
        </w:tc>
        <w:tc>
          <w:tcPr>
            <w:tcW w:type="pct" w:w="1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анти-корреляция — веса простых нет</w:t>
            </w:r>
          </w:p>
        </w:tc>
      </w:tr>
      <w:tr>
        <w:trPr>
          <w:cantSplit/>
        </w:trPr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Референс сьюта (Nv = 2)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+0.089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сигнал начинается</w:t>
            </w:r>
          </w:p>
        </w:tc>
      </w:tr>
      <w:tr>
        <w:trPr>
          <w:cantSplit/>
        </w:trPr>
        <w:tc>
          <w:tcPr>
            <w:tcW w:type="pct" w:w="22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Лучший затвор (Nv = 16)</w:t>
            </w:r>
          </w:p>
        </w:tc>
        <w:tc>
          <w:tcPr>
            <w:tcW w:type="pct" w:w="13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+0.239</w:t>
            </w:r>
          </w:p>
        </w:tc>
        <w:tc>
          <w:tcPr>
            <w:tcW w:type="pct" w:w="1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максимум — рабочее окно</w:t>
            </w:r>
          </w:p>
        </w:tc>
      </w:tr>
      <w:tr>
        <w:trPr>
          <w:cantSplit/>
        </w:trPr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Nv = 32 (переуплотнение)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+0.133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за окном — дальний склон долины</w:t>
            </w:r>
          </w:p>
        </w:tc>
      </w:tr>
      <w:tr>
        <w:trPr>
          <w:cantSplit/>
        </w:trPr>
        <w:tc>
          <w:tcPr>
            <w:tcW w:type="pct" w:w="22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GUE-нуль (12 реализаций)</w:t>
            </w:r>
          </w:p>
        </w:tc>
        <w:tc>
          <w:tcPr>
            <w:tcW w:type="pct" w:w="13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+0.154±0.197</w:t>
            </w:r>
          </w:p>
        </w:tc>
        <w:tc>
          <w:tcPr>
            <w:tcW w:type="pct" w:w="1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нулевая полоса при L = 24</w:t>
            </w:r>
          </w:p>
        </w:tc>
      </w:tr>
    </w:tbl>
    <w:p>
      <w:pPr>
        <w:spacing w:after="120"/>
      </w:pPr>
    </w:p>
    <w:p>
      <w:pPr>
        <w:spacing w:before="120"/>
        <w:jc w:val="center"/>
      </w:pPr>
      <w:r>
        <w:drawing>
          <wp:inline distT="0" distB="0" distL="0" distR="0">
            <wp:extent cx="4381500" cy="23717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Times New Roman" w:hAnsi="Times New Roman"/>
          <w:i/>
          <w:iCs/>
          <w:color w:val="777E81"/>
          <w:sz w:val="17"/>
          <w:szCs w:val="17"/>
        </w:rPr>
        <w:t xml:space="preserve">Рис. 2. ψ(x): сито фон Мангольдта (teal, толстая) против лестницы по 200 нулям (медь, пунктир); корреляция 0.972.</w:t>
      </w:r>
    </w:p>
    <w:p>
      <w:pPr>
        <w:pStyle w:val="Heading1"/>
        <w:spacing w:after="140" w:before="320"/>
      </w:pPr>
      <w:bookmarkStart w:name="_Toc4" w:id="4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M3. Универсальность стирает арифметику</w:t>
      </w:r>
      <w:bookmarkEnd w:id="4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Четыре кодировки потока в позиции вихрей — случайная, простая с весом 1/√p, логарифмическая ln p и D10-конвенция — при фиксированных позициях дают ⟨r⟩ = 0.585–0.611 и D(ζ) = 0.049–0.096: один и тот же GUE-класс. Разброс между кодировками (0.026) вдвое меньше внутрикодировочного — универсальность стирает арифметическое содержание фазы так же надёжно, как стеклывание стирает историю закалки. Именно поэтому «кодирование простых в спектр» (например, ±E-словарь) — универсальный механизм, не дающий RH-доказательной силы, и именно поэтому честная кодировка должна предъявлять себя в потоке (T4) и в лестнице (M2), а не в статистике уровня.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Вердикт C6: ко-локация точна (T4, доказано), ядро разрешения короткодействующее (T5, измерено), лестница простых согласована с нулями (0.972) и входит в затворы по измеренному градиенту плотности и размера (Г5 — ДА по лестнице сходимости, v2.0.8), универсальность стирает кодировки (M3). Простые закодированы в структуре нулей; путь к оператору лежит через лестницу сходимости, а не через копирование простых в фазовые послания.</w:t>
      </w:r>
    </w:p>
    <w:sectPr>
      <w:footerReference w:type="default" r:id="rId7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/>
        <w:color w:val="222526"/>
        <w:sz w:val="21"/>
        <w:szCs w:val="21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eastAsia="Arial" w:hAnsi="Arial"/>
      <w:b/>
      <w:bCs/>
      <w:color w:val="3B4F58"/>
      <w:sz w:val="30"/>
      <w:szCs w:val="30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53f1ca760f5d0ede74289480370c62352d62b0e5.png"/><Relationship Id="rId10" Type="http://schemas.openxmlformats.org/officeDocument/2006/relationships/image" Target="media/618bfc8bd4b5cd8285f57b856a31dacc907c56c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Поток простых, ядро ко-локации и ψ-лестница</dc:title>
  <dc:creator>Исаев Исхак Хамзатович</dc:creator>
  <dc:description>Φ_p = ½ln p; (Φ_p, Φ_q) ≡ Φ_pq; ядро разрешения δ(d); универсальность кодировок</dc:description>
  <cp:lastModifiedBy>Un-named</cp:lastModifiedBy>
  <cp:revision>1</cp:revision>
  <dcterms:created xsi:type="dcterms:W3CDTF">2026-10-15T10:39:24.106Z</dcterms:created>
  <dcterms:modified xsi:type="dcterms:W3CDTF">2026-10-15T10:39:24.106Z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