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none" w:color="auto" w:sz="0"/>
          <w:right w:val="none" w:color="auto" w:sz="0"/>
          <w:insideH w:val="none" w:color="auto" w:sz="0"/>
          <w:insideV w:val="none" w:color="auto" w:sz="0"/>
        </w:tblBorders>
        <w:tblLayout w:type="fixed"/>
      </w:tblPr>
      <w:tblGrid>
        <w:gridCol w:w="11906"/>
      </w:tblGrid>
      <w:tr>
        <w:trPr>
          <w:trHeight w:val="16838" w:hRule="exact"/>
        </w:trPr>
        <w:tc>
          <w:tcPr>
            <w:tcBorders>
              <w:top w:val="none" w:color="auto" w:sz="0"/>
              <w:left w:val="none" w:color="auto" w:sz="0"/>
              <w:bottom w:val="none" w:color="auto" w:sz="0"/>
              <w:right w:val="none" w:color="auto" w:sz="0"/>
            </w:tcBorders>
            <w:shd w:fill="2E3F49" w:val="clear"/>
            <w:vAlign w:val="top"/>
          </w:tcPr>
          <w:p>
            <w:pPr>
              <w:spacing w:before="4405"/>
            </w:pPr>
          </w:p>
          <w:p>
            <w:pPr>
              <w:pBdr>
                <w:bottom w:val="single" w:color="298BBC" w:sz="6" w:space="8"/>
              </w:pBdr>
              <w:spacing w:after="500"/>
              <w:ind w:left="1100" w:right="900"/>
            </w:pPr>
            <w:r>
              <w:rPr>
                <w:rFonts w:ascii="Arial" w:eastAsia="Arial" w:hAnsi="Arial"/>
                <w:color w:val="298BBC"/>
                <w:spacing w:val="40"/>
                <w:sz w:val="19"/>
                <w:szCs w:val="19"/>
              </w:rPr>
              <w:t xml:space="preserve">HILBERT POLYA BRIDGE · MONOGRAPH SERIES</w:t>
            </w:r>
          </w:p>
          <w:p>
            <w:pPr>
              <w:spacing w:after="100" w:line="782" w:lineRule="atLeast"/>
              <w:ind w:left="1100" w:right="400"/>
            </w:pPr>
            <w:r>
              <w:rPr>
                <w:rFonts w:ascii="Arial" w:eastAsia="Arial" w:hAnsi="Arial"/>
                <w:b/>
                <w:bCs/>
                <w:color w:val="F0F4F5"/>
                <w:sz w:val="68"/>
                <w:szCs w:val="68"/>
              </w:rPr>
              <w:t xml:space="preserve">The Statistics Ladder and</w:t>
            </w:r>
          </w:p>
          <w:p>
            <w:pPr>
              <w:spacing w:after="300" w:line="782" w:lineRule="atLeast"/>
              <w:ind w:left="1100" w:right="400"/>
            </w:pPr>
            <w:r>
              <w:rPr>
                <w:rFonts w:ascii="Arial" w:eastAsia="Arial" w:hAnsi="Arial"/>
                <w:b/>
                <w:bCs/>
                <w:color w:val="F0F4F5"/>
                <w:sz w:val="68"/>
                <w:szCs w:val="68"/>
              </w:rPr>
              <w:t xml:space="preserve">Spin Structures</w:t>
            </w:r>
          </w:p>
          <w:p>
            <w:pPr>
              <w:spacing w:after="700" w:line="340" w:lineRule="atLeast"/>
              <w:ind w:left="1100" w:right="600"/>
            </w:pPr>
            <w:r>
              <w:rPr>
                <w:rFonts w:ascii="Arial" w:eastAsia="Arial" w:hAnsi="Arial"/>
                <w:color w:val="B7C6CC"/>
                <w:sz w:val="25"/>
                <w:szCs w:val="25"/>
              </w:rPr>
              <w:t xml:space="preserve">Poisson/GOE/GUE governed by symmetry; the 64→4 reduction (T8)</w:t>
            </w:r>
          </w:p>
          <w:p>
            <w:pPr>
              <w:pBdr>
                <w:left w:val="single" w:color="298BBC" w:sz="8" w:space="12"/>
              </w:pBdr>
              <w:spacing w:after="80"/>
              <w:ind w:left="1300"/>
            </w:pPr>
            <w:r>
              <w:rPr>
                <w:rFonts w:ascii="Arial" w:eastAsia="Arial" w:hAnsi="Arial"/>
                <w:color w:val="D7E2E6"/>
                <w:sz w:val="21"/>
                <w:szCs w:val="21"/>
              </w:rPr>
              <w:t xml:space="preserve">Ishak Khamzatovich Isaev</w:t>
            </w:r>
          </w:p>
          <w:p>
            <w:pPr>
              <w:pBdr>
                <w:left w:val="single" w:color="298BBC" w:sz="8" w:space="12"/>
              </w:pBdr>
              <w:spacing w:after="80"/>
              <w:ind w:left="1300"/>
            </w:pPr>
            <w:r>
              <w:rPr>
                <w:rFonts w:ascii="Arial" w:eastAsia="Arial" w:hAnsi="Arial"/>
                <w:color w:val="D7E2E6"/>
                <w:sz w:val="21"/>
                <w:szCs w:val="21"/>
              </w:rPr>
              <w:t xml:space="preserve">Independent researcher, Nalchik, Kabardino-Balkarian Republic</w:t>
            </w:r>
          </w:p>
          <w:p>
            <w:pPr>
              <w:pBdr>
                <w:left w:val="single" w:color="298BBC" w:sz="8" w:space="12"/>
              </w:pBdr>
              <w:spacing w:after="80"/>
              <w:ind w:left="1300"/>
            </w:pPr>
            <w:r>
              <w:rPr>
                <w:rFonts w:ascii="Arial" w:eastAsia="Arial" w:hAnsi="Arial"/>
                <w:color w:val="D7E2E6"/>
                <w:sz w:val="21"/>
                <w:szCs w:val="21"/>
              </w:rPr>
              <w:t xml:space="preserve">Hilbert Polya Bridge · monograph series C1–C8 · volume C8</w:t>
            </w:r>
          </w:p>
          <w:p>
            <w:pPr>
              <w:spacing w:before="4405"/>
            </w:pPr>
          </w:p>
          <w:p>
            <w:pPr>
              <w:pBdr>
                <w:top w:val="single" w:color="298BBC" w:sz="2" w:space="8"/>
              </w:pBdr>
              <w:spacing w:before="200"/>
              <w:ind w:left="1100" w:right="900"/>
            </w:pPr>
            <w:r>
              <w:rPr>
                <w:rFonts w:ascii="Arial" w:eastAsia="Arial" w:hAnsi="Arial"/>
                <w:color w:val="93A7AE"/>
                <w:sz w:val="16"/>
                <w:szCs w:val="16"/>
              </w:rPr>
              <w:t xml:space="preserve">v1.0.0</w:t>
            </w:r>
            <w:r>
              <w:t xml:space="preserve">                                        </w:t>
            </w:r>
            <w:r>
              <w:rPr>
                <w:rFonts w:ascii="Arial" w:eastAsia="Arial" w:hAnsi="Arial"/>
                <w:color w:val="93A7AE"/>
                <w:sz w:val="16"/>
                <w:szCs w:val="16"/>
              </w:rPr>
              <w:t xml:space="preserve">October 10, 2026</w:t>
            </w:r>
          </w:p>
        </w:tc>
      </w:tr>
    </w:tbl>
    <w:p>
      <w:pPr>
        <w:sectPr>
          <w:pgSz w:w="11906" w:h="16838" w:orient="portrait"/>
          <w:pgMar w:top="0" w:right="0" w:bottom="0" w:left="0" w:header="708" w:footer="708" w:gutter="0"/>
          <w:docGrid w:linePitch="360"/>
        </w:sectPr>
      </w:pPr>
    </w:p>
    <w:p>
      <w:pPr>
        <w:spacing w:after="360" w:before="480"/>
        <w:jc w:val="center"/>
      </w:pPr>
      <w:r>
        <w:rPr>
          <w:rFonts w:ascii="Arial" w:eastAsia="Arial" w:hAnsi="Arial"/>
          <w:b/>
          <w:bCs/>
          <w:color w:val="3B4F58"/>
          <w:sz w:val="32"/>
          <w:szCs w:val="32"/>
        </w:rPr>
        <w:t xml:space="preserve">Contents</w:t>
      </w:r>
    </w:p>
    <w:sdt>
      <w:sdtPr>
        <w:alias w:val="TOC"/>
      </w:sdtPr>
      <w:sdtContent>
        <w:p>
          <w:pPr>
            <w:pStyle w:val="TOC1"/>
            <w:tabs>
              <w:tab w:val="right" w:pos="8788" w:leader="dot"/>
            </w:tabs>
          </w:pPr>
          <w:r>
            <w:fldChar w:fldCharType="begin" w:dirty="true"/>
          </w:r>
          <w:r>
            <w:instrText xml:space="preserve">TOC \h \o "1-1"</w:instrText>
          </w:r>
          <w:r>
            <w:fldChar w:fldCharType="separate"/>
          </w:r>
          <w:hyperlink w:history="1" w:anchor="_Toc1">
            <w:r>
              <w:t xml:space="preserve">Introduction and setting</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Introduction and setting</w:t>
          </w:r>
          <w:r>
            <w:tab/>
          </w:r>
          <w:r>
            <w:t>1</w:t>
          </w:r>
        </w:p>
        <w:p>
          <w:pPr>
            <w:pStyle w:val="9"/>
            <w:tabs>
              <w:tab w:val="right" w:leader="dot" w:pos="9026"/>
            </w:tabs>
            <w:spacing w:before="120" w:after="60"/>
          </w:pPr>
          <w:r>
            <w:t>T10. The statistics ladder</w:t>
          </w:r>
          <w:r>
            <w:tab/>
          </w:r>
          <w:r>
            <w:t>2</w:t>
          </w:r>
        </w:p>
        <w:p>
          <w:pPr>
            <w:pStyle w:val="9"/>
            <w:tabs>
              <w:tab w:val="right" w:leader="dot" w:pos="9026"/>
            </w:tabs>
            <w:spacing w:before="120" w:after="60"/>
          </w:pPr>
          <w:r>
            <w:t>T8. spinor64: the 64→4 reduction</w:t>
          </w:r>
          <w:r>
            <w:tab/>
          </w:r>
          <w:r>
            <w:t>2</w:t>
          </w:r>
        </w:p>
        <w:p>
          <w:pPr>
            <w:pStyle w:val="9"/>
            <w:tabs>
              <w:tab w:val="right" w:leader="dot" w:pos="9026"/>
            </w:tabs>
            <w:spacing w:before="120" w:after="60"/>
          </w:pPr>
          <w:r>
            <w:t>Conclusions</w:t>
          </w:r>
          <w:r>
            <w:tab/>
          </w:r>
          <w:r>
            <w:t>3</w:t>
          </w:r>
        </w:p>
        <w:p>
          <w:r>
            <w:fldChar w:fldCharType="end"/>
          </w:r>
        </w:p>
      </w:sdtContent>
    </w:sdt>
    <w:p>
      <w:pPr>
        <w:spacing w:before="200"/>
      </w:pPr>
      <w:r>
        <w:rPr>
          <w:rFonts w:ascii="Times New Roman" w:eastAsia="Times New Roman" w:hAnsi="Times New Roman"/>
          <w:i/>
          <w:iCs/>
          <w:color w:val="888888"/>
          <w:sz w:val="17"/>
          <w:szCs w:val="17"/>
        </w:rPr>
        <w:t xml:space="preserve">Note: this table of contents is built on Word field codes. After editing, right-click it and choose "Update Field".</w:t>
      </w:r>
    </w:p>
    <w:p>
      <w:pPr>
        <w:sectPr>
          <w:footerReference w:type="default" r:id="rId6"/>
          <w:type w:val="nextPage"/>
          <w:pgSz w:w="11906" w:h="16838" w:orient="portrait"/>
          <w:pgMar w:top="1440" w:right="1417" w:bottom="1440" w:left="1701" w:header="708" w:footer="708" w:gutter="0"/>
          <w:pgNumType w:start="1" w:fmt="upperRoman"/>
          <w:docGrid w:linePitch="360"/>
        </w:sectPr>
      </w:pPr>
      <w:r>
        <w:br w:type="page"/>
      </w:r>
    </w:p>
    <w:p>
      <w:pPr>
        <w:spacing w:after="60" w:before="120"/>
      </w:pPr>
      <w:r>
        <w:rPr>
          <w:rFonts w:ascii="Arial" w:eastAsia="Arial" w:hAnsi="Arial"/>
          <w:b/>
          <w:bCs/>
          <w:color w:val="3B4F58"/>
          <w:sz w:val="40"/>
          <w:szCs w:val="40"/>
        </w:rPr>
        <w:t xml:space="preserve">The Statistics Ladder and Spin Structures</w:t>
      </w:r>
    </w:p>
    <w:p>
      <w:pPr>
        <w:spacing w:after="200"/>
      </w:pPr>
      <w:r>
        <w:rPr>
          <w:rFonts w:ascii="Times New Roman" w:eastAsia="Times New Roman" w:hAnsi="Times New Roman"/>
          <w:color w:val="777E81"/>
          <w:sz w:val="19"/>
          <w:szCs w:val="19"/>
        </w:rPr>
        <w:t xml:space="preserve">Ishak Khamzatovich Isaev · Independent researcher, Nalchik, Kabardino-Balkarian Republic · Hilbert Polya Bridge · monograph series C1–C8 · C8</w:t>
      </w:r>
    </w:p>
    <w:p>
      <w:pPr>
        <w:pStyle w:val="Heading1"/>
        <w:spacing w:after="140" w:before="320"/>
      </w:pPr>
      <w:bookmarkStart w:name="_Toc1" w:id="1"/>
      <w:r>
        <w:rPr>
          <w:rFonts w:ascii="Arial" w:eastAsia="Arial" w:hAnsi="Arial"/>
          <w:b/>
          <w:bCs/>
          <w:color w:val="3B4F58"/>
          <w:sz w:val="30"/>
          <w:szCs w:val="30"/>
        </w:rPr>
        <w:t xml:space="preserve">Introduction and setting</w:t>
      </w:r>
      <w:bookmarkEnd w:id="1"/>
    </w:p>
    <w:p>
      <w:pPr>
        <w:spacing w:after="120" w:line="312"/>
        <w:jc w:val="both"/>
      </w:pPr>
      <w:r>
        <w:rPr>
          <w:rFonts w:ascii="Times New Roman" w:eastAsia="Times New Roman" w:hAnsi="Times New Roman"/>
          <w:color w:val="222526"/>
          <w:sz w:val="21"/>
          <w:szCs w:val="21"/>
        </w:rPr>
        <w:t xml:space="preserve">Campaign C8 fixes the statistical frame in which every spectral campaign of the series lives. Two questions. First: which classes of random matrices does the lattice realise, and what governs them? Second: what do discrete phase structures actually encode — spins, twists, the spin structures of the Klein quartic — and is there a hidden variable for arithmetic among them?</w:t>
      </w:r>
    </w:p>
    <w:p>
      <w:pPr>
        <w:pStyle w:val="Heading1"/>
        <w:spacing w:after="140" w:before="320"/>
      </w:pPr>
      <w:bookmarkStart w:name="_Toc2" w:id="2"/>
      <w:r>
        <w:rPr>
          <w:rFonts w:ascii="Arial" w:eastAsia="Arial" w:hAnsi="Arial"/>
          <w:b/>
          <w:bCs/>
          <w:color w:val="3B4F58"/>
          <w:sz w:val="30"/>
          <w:szCs w:val="30"/>
        </w:rPr>
        <w:t xml:space="preserve">T10. The statistics ladder</w:t>
      </w:r>
      <w:bookmarkEnd w:id="2"/>
    </w:p>
    <w:p>
      <w:pPr>
        <w:keepNext/>
        <w:pBdr>
          <w:left w:val="single" w:color="C96F4A" w:sz="10" w:space="10"/>
        </w:pBdr>
        <w:spacing w:after="40" w:before="120"/>
        <w:ind w:left="200"/>
      </w:pPr>
      <w:r>
        <w:rPr>
          <w:rFonts w:ascii="Times New Roman" w:eastAsia="Times New Roman" w:hAnsi="Times New Roman"/>
          <w:b/>
          <w:bCs/>
          <w:color w:val="C96F4A"/>
          <w:sz w:val="21"/>
          <w:szCs w:val="21"/>
        </w:rPr>
        <w:t xml:space="preserve">Theorem T10 (ladder, measured).</w:t>
      </w:r>
    </w:p>
    <w:p>
      <w:pPr>
        <w:spacing w:after="40"/>
        <w:ind w:left="200"/>
        <w:jc w:val="both"/>
      </w:pPr>
      <w:r>
        <w:rPr>
          <w:rFonts w:ascii="Times New Roman" w:eastAsia="Times New Roman" w:hAnsi="Times New Roman"/>
          <w:color w:val="222526"/>
          <w:sz w:val="20"/>
          <w:szCs w:val="20"/>
        </w:rPr>
        <w:t xml:space="preserve">The statistics class is set by symmetry: the clean lattice — Poisson (⟨r⟩ = 0.324–0.386, clustering below Poisson under frustration); real disorder w = 1–4 — a GOE plateau (0.520–0.538); strong disorder w = 16–32 — Poisson (Anderson localization); complex vortex phases Nv ≥ 8 — GUE (0.597–0.612).</w:t>
      </w:r>
    </w:p>
    <w:p>
      <w:pPr>
        <w:spacing w:after="140"/>
        <w:ind w:left="200"/>
        <w:jc w:val="both"/>
      </w:pPr>
      <w:r>
        <w:rPr>
          <w:rFonts w:ascii="Times New Roman" w:eastAsia="Times New Roman" w:hAnsi="Times New Roman"/>
          <w:i/>
          <w:iCs/>
          <w:color w:val="222526"/>
          <w:sz w:val="19"/>
          <w:szCs w:val="19"/>
        </w:rPr>
        <w:t xml:space="preserve">Proof. Measured on a ladder of 11 channels (n_real up to 5, n_spacings up to 1715); classification by ⟨r⟩ and the KS statistic against three references. GSE is structurally unreachable: a spinless system has T² = +1, while GSE requires Kramers symmetry T² = −1 — an architectural, not numerical, constraint.</w:t>
      </w:r>
    </w:p>
    <w:p>
      <w:pPr>
        <w:spacing w:after="120" w:line="312"/>
        <w:jc w:val="both"/>
      </w:pPr>
      <w:r>
        <w:rPr>
          <w:rFonts w:ascii="Times New Roman" w:eastAsia="Times New Roman" w:hAnsi="Times New Roman"/>
          <w:color w:val="222526"/>
          <w:sz w:val="21"/>
          <w:szCs w:val="21"/>
        </w:rPr>
        <w:t xml:space="preserve">The claim all statistics of the source material is confirmed in the volume of the Dyson triplet: Poisson, GOE, GUE — and not a step further. This is an important demarcation: universality is an attractor and cannot witness arithmetic, because it erases everything except symmetry. The channel with vortices and extra disorder (Nv=16, torus, w=0.2) gives ⟨r⟩ = 0.597 with a KS-to-GUE p-value of 0.68 — the plateau is robust.</w:t>
      </w:r>
    </w:p>
    <w:p>
      <w:pPr>
        <w:spacing w:before="120"/>
        <w:jc w:val="center"/>
      </w:pPr>
      <w:r>
        <w:drawing>
          <wp:inline distT="0" distB="0" distL="0" distR="0">
            <wp:extent cx="4381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133600"/>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1. The ⟨r⟩ ladder across 11 channels: reference lines Poisson/GOE/GUE; the vortex channel (first bar) is GUE.</w:t>
      </w:r>
    </w:p>
    <w:p>
      <w:pPr>
        <w:pStyle w:val="Heading1"/>
        <w:spacing w:after="140" w:before="320"/>
      </w:pPr>
      <w:bookmarkStart w:name="_Toc3" w:id="3"/>
      <w:r>
        <w:rPr>
          <w:rFonts w:ascii="Arial" w:eastAsia="Arial" w:hAnsi="Arial"/>
          <w:b/>
          <w:bCs/>
          <w:color w:val="3B4F58"/>
          <w:sz w:val="30"/>
          <w:szCs w:val="30"/>
        </w:rPr>
        <w:t xml:space="preserve">T8. spinor64: the 64→4 reduction</w:t>
      </w:r>
      <w:bookmarkEnd w:id="3"/>
    </w:p>
    <w:p>
      <w:pPr>
        <w:keepNext/>
        <w:pBdr>
          <w:left w:val="single" w:color="C96F4A" w:sz="10" w:space="10"/>
        </w:pBdr>
        <w:spacing w:after="40" w:before="120"/>
        <w:ind w:left="200"/>
      </w:pPr>
      <w:r>
        <w:rPr>
          <w:rFonts w:ascii="Times New Roman" w:eastAsia="Times New Roman" w:hAnsi="Times New Roman"/>
          <w:b/>
          <w:bCs/>
          <w:color w:val="C96F4A"/>
          <w:sz w:val="21"/>
          <w:szCs w:val="21"/>
        </w:rPr>
        <w:t xml:space="preserve">Theorem T8 (reduction).</w:t>
      </w:r>
    </w:p>
    <w:p>
      <w:pPr>
        <w:spacing w:after="40"/>
        <w:ind w:left="200"/>
        <w:jc w:val="both"/>
      </w:pPr>
      <w:r>
        <w:rPr>
          <w:rFonts w:ascii="Times New Roman" w:eastAsia="Times New Roman" w:hAnsi="Times New Roman"/>
          <w:color w:val="222526"/>
          <w:sz w:val="20"/>
          <w:szCs w:val="20"/>
        </w:rPr>
        <w:t xml:space="preserve">The E2 spin structures (φx = π(e1+e3+e5), φy = π(e2+e4+e6) mod 2π) yield only 4 distinct Hamiltonians out of 64; the project table confirms it: exactly 4 unique values ⟨r⟩ = 0.59348/0.59682/0.60054/0.60271, each rigidly bound to its pair (φx, φy).</w:t>
      </w:r>
    </w:p>
    <w:p>
      <w:pPr>
        <w:spacing w:after="140"/>
        <w:ind w:left="200"/>
        <w:jc w:val="both"/>
      </w:pPr>
      <w:r>
        <w:rPr>
          <w:rFonts w:ascii="Times New Roman" w:eastAsia="Times New Roman" w:hAnsi="Times New Roman"/>
          <w:i/>
          <w:iCs/>
          <w:color w:val="222526"/>
          <w:sz w:val="19"/>
          <w:szCs w:val="19"/>
        </w:rPr>
        <w:t xml:space="preserve">Proof. Six basis 1-forms give 64 sign patterns, but the phases enter only through two sums of three elements; mod 2π each sum has 2 essential values (0 or π) — hence 2×2 = 4 classes. Isospectrality within classes is machine precision: max|Δλ| = 1.1e-14 (E1: orbits 28/21/7/7/1, Arf 28 odd / 36 even, the odd set matches the reference bit-for-bit).</w:t>
      </w:r>
    </w:p>
    <w:p>
      <w:pPr>
        <w:spacing w:after="120" w:line="312"/>
        <w:jc w:val="both"/>
      </w:pPr>
      <w:r>
        <w:rPr>
          <w:rFonts w:ascii="Times New Roman" w:eastAsia="Times New Roman" w:hAnsi="Times New Roman"/>
          <w:color w:val="222526"/>
          <w:sz w:val="21"/>
          <w:szCs w:val="21"/>
        </w:rPr>
        <w:t xml:space="preserve">The practical consequence of the reduction: statements like 64/64 GUE-consistent are honest but substantively these are 4 spectra, not 64. The encoding in discrete phase structures exists and is absolutely reliable (isospectrality 1e-14), but its capacity is set by the symmetry of the phases, not by the number of structures. For the RH programme the conclusion is transparent: discrete spin structures carry the universal class, not the arithmetic.</w:t>
      </w:r>
    </w:p>
    <w:p>
      <w:pPr>
        <w:spacing w:before="120"/>
        <w:jc w:val="center"/>
      </w:pPr>
      <w:r>
        <w:drawing>
          <wp:inline distT="0" distB="0" distL="0" distR="0">
            <wp:extent cx="4381500" cy="2495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95550"/>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2. The four unique ⟨r⟩ values of the spin structures: 64 sign patterns collapse into 4 Hamiltonians by the pairs (φx, φy).</w:t>
      </w:r>
    </w:p>
    <w:p>
      <w:pPr>
        <w:pStyle w:val="Heading1"/>
        <w:spacing w:after="140" w:before="320"/>
      </w:pPr>
      <w:bookmarkStart w:name="_Toc4" w:id="4"/>
      <w:r>
        <w:rPr>
          <w:rFonts w:ascii="Arial" w:eastAsia="Arial" w:hAnsi="Arial"/>
          <w:b/>
          <w:bCs/>
          <w:color w:val="3B4F58"/>
          <w:sz w:val="30"/>
          <w:szCs w:val="30"/>
        </w:rPr>
        <w:t xml:space="preserve">Conclusions</w:t>
      </w:r>
      <w:bookmarkEnd w:id="4"/>
    </w:p>
    <w:p>
      <w:pPr>
        <w:spacing w:after="120" w:line="312"/>
        <w:jc w:val="both"/>
      </w:pPr>
      <w:r>
        <w:rPr>
          <w:rFonts w:ascii="Times New Roman" w:eastAsia="Times New Roman" w:hAnsi="Times New Roman"/>
          <w:color w:val="222526"/>
          <w:sz w:val="21"/>
          <w:szCs w:val="21"/>
        </w:rPr>
        <w:t xml:space="preserve">The statistical frame of the series is fixed: the class is set by symmetry (T10), discrete phases give exact but universal codings (T8), and GSE is architecturally closed. Whatever claims arithmetic further on, it must present it outside statistics — in the flow identities (T4), in the counting (C2) or in the trace (T6). This is the discipline the series keeps.</w:t>
      </w:r>
    </w:p>
    <w:sectPr>
      <w:footerReference w:type="default" r:id="rId7"/>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E81"/>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E81"/>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222526"/>
        <w:sz w:val="21"/>
        <w:szCs w:val="21"/>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outlineLvl w:val="0"/>
    </w:pPr>
    <w:rPr>
      <w:rFonts w:ascii="Arial" w:eastAsia="Arial" w:hAnsi="Arial"/>
      <w:b/>
      <w:bCs/>
      <w:color w:val="3B4F58"/>
      <w:sz w:val="30"/>
      <w:szCs w:val="30"/>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21675e08b2da3af70b154922e26fb2ca3da51966.png"/><Relationship Id="rId10" Type="http://schemas.openxmlformats.org/officeDocument/2006/relationships/image" Target="media/a93e62d249f1cffecee459f8629ac52ba0545d2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Statistics Ladder and Spin Structures</dc:title>
  <dc:creator>Ishak Khamzatovich Isaev</dc:creator>
  <dc:description>Poisson/GOE/GUE governed by symmetry; the 64→4 reduction (T8)</dc:description>
  <cp:lastModifiedBy>Un-named</cp:lastModifiedBy>
  <cp:revision>1</cp:revision>
  <dcterms:created xsi:type="dcterms:W3CDTF">2026-10-15T10:40:24.058Z</dcterms:created>
  <dcterms:modified xsi:type="dcterms:W3CDTF">2026-10-15T10:40:24.058Z</dcterms:modified>
</cp:coreProperties>
</file>

<file path=docProps/custom.xml><?xml version="1.0" encoding="utf-8"?>
<Properties xmlns="http://schemas.openxmlformats.org/officeDocument/2006/custom-properties" xmlns:vt="http://schemas.openxmlformats.org/officeDocument/2006/docPropsVTypes"/>
</file>