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Статистическая лестница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и спин-структуры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Пуассон/GOE/GUE под управлением симметрии; редукция 64→4 (T8)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C8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T10. Лестница статистик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T8. spinor64: редукция 64→4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Статистическая лестница и спин-структуры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C8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C8 фиксирует статистическую рамку, в которой живут все спектральные кампании серии. Вопросы два. Первый: какие классы случайных матриц реализует решётка, и что ими управляет? Второй: что именно кодируют дискретные фазовые структуры — спины, твисты, спин-структуры квартики Клайна — и есть ли среди них «скрытая переменная» для арифметики?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T10. Лестница статистик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T10 (лестница, измерена).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Класс статистики определяется симметрией: чистая решётка — Пуассон (⟨r⟩ = 0.324–0.386, кластеризация ниже Пуассона при фрустрации); вещественный беспорядок w = 1–4 — GOE-плато (0.520–0.538); сильный беспорядок w = 16–32 — Пуассон (андерсоновская локализация); комплексные вихревые фазы Nv ≥ 8 — GUE (0.597–0.612).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Измерено на лестнице из 11 каналов (n_real до 5, n_spacings до 1715); классификация — по ⟨r⟩ и KS к трём эталонам. GSE структурно недостижима: система без поднотечения имеет T² = +1, для GSE нужна симметрия Крамерса T² = −1 — это архитектурное, а не численное ограничение.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«Все статистики» из исходного заявления подтверждаются в объёме тройственности Дайсона: Пуассон, GOE, GUE — и ни шагу дальше. Это важная демаркация: универсальность — аттрактор, она не может быть свидетелем арифметики, потому что стирает всё, кроме симметрии. Канал с вихрями и дополнительным беспорядком (Nv=16, torus, w=0.2) даёт ⟨r⟩ = 0.597 с KS к GUE p = 0.68 — плато устойчиво.</w:t>
      </w:r>
    </w:p>
    <w:p>
      <w:pPr>
        <w:spacing w:before="120"/>
        <w:jc w:val="center"/>
      </w:pPr>
      <w:r>
        <w:drawing>
          <wp:inline distT="0" distB="0" distL="0" distR="0">
            <wp:extent cx="4381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Лестница ⟨r⟩ по 11 каналам: эталонные линии Пуассона/GOE/GUE; вихревой канал (первый столбец) — GUE.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T8. spinor64: редукция 64→4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T8 (редукция).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Спин-структуры E2 (φx = π(e1+e3+e5), φy = π(e2+e4+e6) mod 2π) дают лишь 4 различных гамильтониана из 64; таблица проекта это подтверждает: ровно 4 уникальных ⟨r⟩ = 0.59348/0.59682/0.60054/0.60271, каждый жёстко привязан к паре (φx, φy).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Шесть базисных 1-форм дают 64 знаковых набора, но фазы входят только через две суммы по три элемента; mod 2π каждая сумма имеет 2 существенных значения (0 или π) — итого 2×2 = 4 класса. Изоспектральность внутри классов — машинная точность: max|Δλ| = 1.1e-14 (E1: орбиты 28/21/7/7/1, Арф 28 нечётных/36 чётных, совпадение нечётного множества с эталоном бит-в-бит).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Практическое следствие редукции: заявления вида «64/64 GUE-согласованы» честны, но содержательно это 4 спектра, а не 64. Кодирование в дискретных фазовых структурах существует и абсолютно надёжно (изоспектральность 1e-14), но ёмкость определяется симметрией фаз, а не числом структур. Для RH-программы вывод прозрачен: дискретные спин-структуры — носитель универсального класса, а не арифметики.</w:t>
      </w:r>
    </w:p>
    <w:p>
      <w:pPr>
        <w:spacing w:before="120"/>
        <w:jc w:val="center"/>
      </w:pPr>
      <w:r>
        <w:drawing>
          <wp:inline distT="0" distB="0" distL="0" distR="0">
            <wp:extent cx="4381500" cy="2495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Четыре уникальных значения ⟨r⟩ спин-структур: 64 знаковых набора схлопываются в 4 гамильтониана по парам (φx, φy).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Статистическая рамка серии зафиксирована: класс задаётся симметрией (T10), дискретные фазы дают точные, но универсальные кодировки (T8), GSE — архитектурно закрыта. Всё, что дальше претендует на арифметику, обязано предъявлять её вне статистики — в тождествах потока (T4), в счёте (C2) или в следе (T6). Этой дисциплиной серия и держится.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1675e08b2da3af70b154922e26fb2ca3da51966.png"/><Relationship Id="rId10" Type="http://schemas.openxmlformats.org/officeDocument/2006/relationships/image" Target="media/a93e62d249f1cffecee459f8629ac52ba0545d2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Статистическая лестница и спин-структуры</dc:title>
  <dc:creator>Исаев Исхак Хамзатович</dc:creator>
  <dc:description>Пуассон/GOE/GUE под управлением симметрии; редукция 64→4 (T8)</dc:description>
  <cp:lastModifiedBy>Un-named</cp:lastModifiedBy>
  <cp:revision>1</cp:revision>
  <dcterms:created xsi:type="dcterms:W3CDTF">2026-10-15T10:39:31.126Z</dcterms:created>
  <dcterms:modified xsi:type="dcterms:W3CDTF">2026-10-15T10:39:31.126Z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