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Research Program: The Spectral Core (V01–V19, Th1–Th6, V13)</w:t>
      </w:r>
      <w:r>
        <w:br/>
      </w:r>
      <w:r>
        <w:t xml:space="preserve">Research Program Monograph · Version 1.0.0</w:t>
      </w:r>
      <w:r>
        <w:br/>
      </w:r>
      <w:r>
        <w:t xml:space="preserve">RESEARCH PROGRAM · CORE</w:t>
      </w:r>
      <w:r>
        <w:br/>
      </w:r>
      <w:r>
        <w:t xml:space="preserve">Isaev Iskhak Khamzatovich · ORCID 0009-0003-7299-0701</w:t>
      </w:r>
      <w:r>
        <w:br/>
      </w:r>
      <w:r>
        <w:t xml:space="preserve">AB Cloud Quantum Research · DOI 10.5281/zenodo.21825394</w:t>
      </w:r>
    </w:p>
    <w:bookmarkStart w:id="36" w:name="research-program-the-spectral-core"/>
    <w:p>
      <w:pPr>
        <w:pStyle w:val="Heading1"/>
      </w:pPr>
      <w:r>
        <w:t xml:space="preserve">Research Program: The Spectral Core</w:t>
      </w:r>
    </w:p>
    <w:p>
      <w:pPr>
        <w:pStyle w:val="FirstParagraph"/>
      </w:pPr>
      <w:r>
        <w:rPr>
          <w:i/>
          <w:iCs/>
        </w:rPr>
        <w:t xml:space="preserve">The core program owns the mathematical foundation of the AB architecture: the blind spectrum, null models, the critical line, the trace formula, the obligation machine and branch stitching. Nineteen campaigns and six theorems form a closed loop: construction → certificate → formal statement → independent verification.</w:t>
      </w:r>
    </w:p>
    <w:bookmarkStart w:id="20" w:name="program-goals"/>
    <w:p>
      <w:pPr>
        <w:pStyle w:val="Heading2"/>
      </w:pPr>
      <w:r>
        <w:t xml:space="preserve">1. Program goals</w:t>
      </w:r>
    </w:p>
    <w:p>
      <w:pPr>
        <w:numPr>
          <w:ilvl w:val="0"/>
          <w:numId w:val="1001"/>
        </w:numPr>
      </w:pPr>
      <w:r>
        <w:t xml:space="preserve">construct a Hermitian operator H</w:t>
      </w:r>
      <w:r>
        <w:rPr>
          <w:vertAlign w:val="subscript"/>
        </w:rPr>
        <w:t xml:space="preserve">ξ</w:t>
      </w:r>
      <w:r>
        <w:t xml:space="preserve"> </w:t>
      </w:r>
      <w:r>
        <w:t xml:space="preserve">whose heat expansion carries the arithmetic of the primes (Λ(n)/√n);</w:t>
      </w:r>
    </w:p>
    <w:p>
      <w:pPr>
        <w:numPr>
          <w:ilvl w:val="0"/>
          <w:numId w:val="1001"/>
        </w:numPr>
      </w:pPr>
      <w:r>
        <w:t xml:space="preserve">prove the correctness of the construction: Hermiticity (Th1), self-adjointness (Th2), Kato certificates (Th3), the Li formula (Th4), block reduction (Th5), the Guinand–Weil correspondence (Th6);</w:t>
      </w:r>
    </w:p>
    <w:p>
      <w:pPr>
        <w:numPr>
          <w:ilvl w:val="0"/>
          <w:numId w:val="1001"/>
        </w:numPr>
      </w:pPr>
      <w:r>
        <w:t xml:space="preserve">separate arithmetic specificity from GUE statistics — including honest negative answers on lattices;</w:t>
      </w:r>
    </w:p>
    <w:p>
      <w:pPr>
        <w:numPr>
          <w:ilvl w:val="0"/>
          <w:numId w:val="1001"/>
        </w:numPr>
      </w:pPr>
      <w:r>
        <w:t xml:space="preserve">fix the RH status with the obligation machine V13 — and keep it blocked while the hypotheses are unproved.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t xml:space="preserve">Every campaign starts with a pre-registration protocol: thresholds are fixed before the run. Blind protocols are applied wherever a reference exists (V01: calibration/test with no leak). All derived artifacts (tiles, documents) are built only from committed verdicts. Formal statements are duplicated in Lean 4, Coq, Agda and Isabelle (reductions A1–A6, no sorry/admit).</w:t>
      </w:r>
    </w:p>
    <w:bookmarkEnd w:id="21"/>
    <w:bookmarkStart w:id="22" w:name="executed-campaigns"/>
    <w:p>
      <w:pPr>
        <w:pStyle w:val="Heading2"/>
      </w:pPr>
      <w:r>
        <w:t xml:space="preserve">3. Executed campaigns</w:t>
      </w:r>
    </w:p>
    <w:p>
      <w:pPr>
        <w:pStyle w:val="FirstParagraph"/>
      </w:pPr>
      <w:r>
        <w:t xml:space="preserve">p</w:t>
      </w:r>
      <w:r>
        <w:t xml:space="preserve">0.10</w:t>
      </w:r>
      <w:r>
        <w:t xml:space="preserve"> </w:t>
      </w:r>
      <w:r>
        <w:t xml:space="preserve">p</w:t>
      </w:r>
      <w:r>
        <w:t xml:space="preserve">0.29</w:t>
      </w:r>
      <w:r>
        <w:t xml:space="preserve"> </w:t>
      </w:r>
      <w:r>
        <w:t xml:space="preserve">p</w:t>
      </w:r>
      <w:r>
        <w:t xml:space="preserve">0.58</w:t>
      </w:r>
      <w:r>
        <w:t xml:space="preserve"> </w:t>
      </w:r>
      <w:r>
        <w:rPr>
          <w:b/>
          <w:bCs/>
        </w:rPr>
        <w:t xml:space="preserve">Campaign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Key result</w:t>
      </w:r>
      <w:r>
        <w:t xml:space="preserve"> </w:t>
      </w:r>
      <w:r>
        <w:t xml:space="preserve">V01 &amp; blind spectrum &amp; statistics consistent; individual ordinates not predicted (honest negative)</w:t>
      </w:r>
      <w:r>
        <w:br/>
      </w:r>
      <w:r>
        <w:t xml:space="preserve">V02 &amp; null models &amp; AB cloud in the GUE class; specificity measured by fine structure</w:t>
      </w:r>
      <w:r>
        <w:br/>
      </w:r>
      <w:r>
        <w:t xml:space="preserve">V03 &amp; lattice σ-scan &amp; no agreement zone with ζ found</w:t>
      </w:r>
      <w:r>
        <w:br/>
      </w:r>
      <w:r>
        <w:t xml:space="preserve">V04 &amp; Hermiticity &amp; Th1: ‖H − H†‖ = 0.0; symmetry λ ↔ −λ at α = ½</w:t>
      </w:r>
      <w:r>
        <w:br/>
      </w:r>
      <w:r>
        <w:t xml:space="preserve">V05 &amp; construction certificate &amp; construction boundaries fixed</w:t>
      </w:r>
      <w:r>
        <w:br/>
      </w:r>
      <w:r>
        <w:t xml:space="preserve">V06 &amp; level identity &amp; gates at the zeros’ level — YES (the D_nn bridge, v2.0.7); bit-level branch open</w:t>
      </w:r>
      <w:r>
        <w:br/>
      </w:r>
      <w:r>
        <w:t xml:space="preserve">V07 &amp; trace ↔ primes &amp; Th6: r = 0.9996; lattice control 0.76; the B/C₀ erratum</w:t>
      </w:r>
      <w:r>
        <w:br/>
      </w:r>
      <w:r>
        <w:t xml:space="preserve">V08 &amp; self-adjointness &amp; Th2: defects (0,0); unitarity drift 2.2e−16</w:t>
      </w:r>
      <w:r>
        <w:br/>
      </w:r>
      <w:r>
        <w:t xml:space="preserve">V09 &amp; block reduction &amp; Th5: block union ≈ spectrum to 7.1e−15</w:t>
      </w:r>
      <w:r>
        <w:br/>
      </w:r>
      <w:r>
        <w:t xml:space="preserve">V10 &amp; spectral certificates &amp; certificates consistent with Kato estimates</w:t>
      </w:r>
      <w:r>
        <w:br/>
      </w:r>
      <w:r>
        <w:t xml:space="preserve">V11 &amp; obligation DAG draft &amp; the structure of the path to RH fixed</w:t>
      </w:r>
      <w:r>
        <w:br/>
      </w:r>
      <w:r>
        <w:t xml:space="preserve">V12 &amp; Kato certificates &amp; Th3: widths ~1e−27 (dps 40)</w:t>
      </w:r>
      <w:r>
        <w:br/>
      </w:r>
      <w:r>
        <w:t xml:space="preserve">V13 &amp; obligation machine &amp; RH blocked: 5 proven / 3 computed / 4 assumed</w:t>
      </w:r>
      <w:r>
        <w:br/>
      </w:r>
      <w:r>
        <w:t xml:space="preserve">V14 &amp; claim audit &amp; claim files consistent with verdicts</w:t>
      </w:r>
      <w:r>
        <w:br/>
      </w:r>
      <w:r>
        <w:t xml:space="preserve">V15 &amp; Li formula &amp; Th4: two paths ≤ 4.4e−11; absolute convergence</w:t>
      </w:r>
      <w:r>
        <w:br/>
      </w:r>
      <w:r>
        <w:t xml:space="preserve">V16 &amp; lattice re-check &amp; the level — YES confirmed; bit-level branch open (z = 2.49)</w:t>
      </w:r>
      <w:r>
        <w:br/>
      </w:r>
      <w:r>
        <w:t xml:space="preserve">V17 &amp; trajectories &amp; reading is idempotent; no degradation</w:t>
      </w:r>
      <w:r>
        <w:br/>
      </w:r>
      <w:r>
        <w:t xml:space="preserve">V18 &amp; pong protocol &amp; latency bounded; no log growth</w:t>
      </w:r>
      <w:r>
        <w:br/>
      </w:r>
      <w:r>
        <w:t xml:space="preserve">V19 &amp; branch stitching &amp; θ-ladder 0.832; coherence 0.9995; Z₂-monodromy</w:t>
      </w:r>
      <w:r>
        <w:br/>
      </w:r>
    </w:p>
    <w:bookmarkEnd w:id="22"/>
    <w:bookmarkStart w:id="23" w:name="the-next-wave"/>
    <w:p>
      <w:pPr>
        <w:pStyle w:val="Heading2"/>
      </w:pPr>
      <w:r>
        <w:t xml:space="preserve">4. The next wave</w:t>
      </w:r>
    </w:p>
    <w:p>
      <w:pPr>
        <w:numPr>
          <w:ilvl w:val="0"/>
          <w:numId w:val="1002"/>
        </w:numPr>
      </w:pPr>
      <w:r>
        <w:t xml:space="preserve">stitching refinement: r_align ≤ 0.135 on an extended height grid;</w:t>
      </w:r>
    </w:p>
    <w:p>
      <w:pPr>
        <w:numPr>
          <w:ilvl w:val="0"/>
          <w:numId w:val="1002"/>
        </w:numPr>
      </w:pPr>
      <w:r>
        <w:t xml:space="preserve">the ζ monodromy as an algebraic object: formalization of V19;</w:t>
      </w:r>
    </w:p>
    <w:p>
      <w:pPr>
        <w:numPr>
          <w:ilvl w:val="0"/>
          <w:numId w:val="1002"/>
        </w:numPr>
      </w:pPr>
      <w:r>
        <w:t xml:space="preserve">compiling obligations into Lean/Coq: O-lean/O-coq — moving the V13 DAG into the formal layer;</w:t>
      </w:r>
    </w:p>
    <w:p>
      <w:pPr>
        <w:numPr>
          <w:ilvl w:val="0"/>
          <w:numId w:val="1002"/>
        </w:numPr>
      </w:pPr>
      <w:r>
        <w:t xml:space="preserve">extending the Th3–Th4 certificates to larger sizes.</w:t>
      </w:r>
    </w:p>
    <w:bookmarkEnd w:id="23"/>
    <w:bookmarkStart w:id="24" w:name="honest-boundaries"/>
    <w:p>
      <w:pPr>
        <w:pStyle w:val="Heading2"/>
      </w:pPr>
      <w:r>
        <w:t xml:space="preserve">5. Honest boundaries</w:t>
      </w:r>
    </w:p>
    <w:p>
      <w:pPr>
        <w:pStyle w:val="FirstParagraph"/>
      </w:pPr>
      <w:r>
        <w:t xml:space="preserve">Individual ordinates are not predicted by the blind spectrum — statistics agreed, no oracle. The hypotheses O08/O09/O11/O12 are not removed: RH stays blocked. Vortex terms break Th5. Lattice constructions do not reproduce the arithmetic of ζ. These boundaries are part of the result, not its flaw.</w:t>
      </w:r>
    </w:p>
    <w:bookmarkEnd w:id="24"/>
    <w:bookmarkStart w:id="25" w:name="key-campaigns-in-detail"/>
    <w:p>
      <w:pPr>
        <w:pStyle w:val="Heading2"/>
      </w:pPr>
      <w:r>
        <w:t xml:space="preserve">6. Key campaigns in detail</w:t>
      </w:r>
    </w:p>
    <w:bookmarkEnd w:id="25"/>
    <w:bookmarkStart w:id="32" w:name="six-campaigns-that-defined-the-core"/>
    <w:p>
      <w:pPr>
        <w:pStyle w:val="Heading2"/>
      </w:pPr>
      <w:r>
        <w:t xml:space="preserve">6.1. Six campaigns that defined the core</w:t>
      </w:r>
    </w:p>
    <w:bookmarkStart w:id="26" w:name="v01-the-blind-spectrum"/>
    <w:p>
      <w:pPr>
        <w:pStyle w:val="Heading3"/>
      </w:pPr>
      <w:r>
        <w:t xml:space="preserve">V01 — the blind spectrum</w:t>
      </w:r>
    </w:p>
    <w:p>
      <w:pPr>
        <w:pStyle w:val="FirstParagraph"/>
      </w:pPr>
      <w:r>
        <w:t xml:space="preserve">The campaign is built as a strict no-leak check: the operator is calibrated on 600 ordinates and tested on another 600. The result is dual and both components matter. Positive: the test-set statistics agree with the construction expectations — correlations within control zones. Negative: individual ordinates are not predicted. The practical conclusion: the model works as a consistency counter, not as an oracle; any future claim of "zero prediction" must first refute this verdict.</w:t>
      </w:r>
    </w:p>
    <w:bookmarkEnd w:id="26"/>
    <w:bookmarkStart w:id="27" w:name="v02-null-models-and-gue"/>
    <w:p>
      <w:pPr>
        <w:pStyle w:val="Heading3"/>
      </w:pPr>
      <w:r>
        <w:t xml:space="preserve">V02 — null models and GUE</w:t>
      </w:r>
    </w:p>
    <w:p>
      <w:pPr>
        <w:pStyle w:val="FirstParagraph"/>
      </w:pPr>
      <w:r>
        <w:t xml:space="preserve">The comparison with four null models (M0, N1, N4 and references) over r_mean, Σ₂, Δ₃ and the KS statistic showed: the AB cloud falls into the GUE class together with the controls (r_mean 0.6093 versus 0.5837 for random phases, KS 0.0499). Hence the program’s methodological rule: GUE agreement is necessary but not sufficient; the arithmetic specificity is sought separately — in the trace, the constants and the behaviour.</w:t>
      </w:r>
    </w:p>
    <w:bookmarkEnd w:id="27"/>
    <w:bookmarkStart w:id="28" w:name="v07-trace-primes"/>
    <w:p>
      <w:pPr>
        <w:pStyle w:val="Heading3"/>
      </w:pPr>
      <w:r>
        <w:t xml:space="preserve">V07 — trace ↔ primes</w:t>
      </w:r>
    </w:p>
    <w:p>
      <w:pPr>
        <w:pStyle w:val="FirstParagraph"/>
      </w:pPr>
      <w:r>
        <w:t xml:space="preserve">The central arithmetic campaign of the core. The heat trace K(x) = Tr e^(−xH) expands in a series whose coefficients carry Λ(n)/√n — the content of Th6. The trace-prime correlation r = 0.9996; the lattice control without arithmetic gives 0.76; the gap is the measured specificity. An important side result — the B/C₀ constants erratum: the error was found by an independent derivation and fixed in the same verdict.</w:t>
      </w:r>
    </w:p>
    <w:bookmarkEnd w:id="28"/>
    <w:bookmarkStart w:id="29" w:name="v12-kato-certificates"/>
    <w:p>
      <w:pPr>
        <w:pStyle w:val="Heading3"/>
      </w:pPr>
      <w:r>
        <w:t xml:space="preserve">V12 — Kato certificates</w:t>
      </w:r>
    </w:p>
    <w:p>
      <w:pPr>
        <w:pStyle w:val="FirstParagraph"/>
      </w:pPr>
      <w:r>
        <w:t xml:space="preserve">The campaign answers the question "how much can a computed eigenvalue be trusted". Kato theory gives the corridor δ²/gap plus a Gershgorin allowance; numerically the widths are of order 1e−27 at forty significant digits. A rare situation: the error of the estimate is known better than the estimate itself. These certificates later become the basis of the computed status in the obligation machine.</w:t>
      </w:r>
    </w:p>
    <w:bookmarkEnd w:id="29"/>
    <w:bookmarkStart w:id="30" w:name="v13-the-obligation-machine"/>
    <w:p>
      <w:pPr>
        <w:pStyle w:val="Heading3"/>
      </w:pPr>
      <w:r>
        <w:t xml:space="preserve">V13 — the obligation machine</w:t>
      </w:r>
    </w:p>
    <w:p>
      <w:pPr>
        <w:pStyle w:val="FirstParagraph"/>
      </w:pPr>
      <w:r>
        <w:t xml:space="preserve">The executable DAG of the path to RH: five nodes proven, three computed, four assumed (O08, O09, O11, O12); the conclusion is automatically blocked. The verdict note fixes the principle: no numerical check raises the status. The campaign turned the program from a set of results into a system of obligations with checkable statuses.</w:t>
      </w:r>
    </w:p>
    <w:bookmarkEnd w:id="30"/>
    <w:bookmarkStart w:id="31" w:name="v19-branch-stitching"/>
    <w:p>
      <w:pPr>
        <w:pStyle w:val="Heading3"/>
      </w:pPr>
      <w:r>
        <w:t xml:space="preserve">V19 — branch stitching</w:t>
      </w:r>
    </w:p>
    <w:p>
      <w:pPr>
        <w:pStyle w:val="FirstParagraph"/>
      </w:pPr>
      <w:r>
        <w:t xml:space="preserve">The final algebraic campaign of the core: the branches of the spectral construction are stitched with a θ-ladder, agreement 0.832 and coherence 0.9995 (z = 43.4); Z₂-monodromy. The certificate is algebraic: going around the branch point twice returns to the original branch. The stitching closes the construction and opens the R2 roadmap: refining r_align ≤ 0.135 and formalizing the monodromy.</w:t>
      </w:r>
    </w:p>
    <w:bookmarkEnd w:id="31"/>
    <w:bookmarkEnd w:id="32"/>
    <w:bookmarkStart w:id="33" w:name="the-full-campaign-table"/>
    <w:p>
      <w:pPr>
        <w:pStyle w:val="Heading2"/>
      </w:pPr>
      <w:r>
        <w:t xml:space="preserve">7. The full campaign table</w:t>
      </w:r>
    </w:p>
    <w:p>
      <w:pPr>
        <w:pStyle w:val="FirstParagraph"/>
      </w:pPr>
      <w:r>
        <w:t xml:space="preserve">p</w:t>
      </w:r>
      <w:r>
        <w:t xml:space="preserve">0.12</w:t>
      </w:r>
      <w:r>
        <w:t xml:space="preserve"> </w:t>
      </w:r>
      <w:r>
        <w:t xml:space="preserve">p</w:t>
      </w:r>
      <w:r>
        <w:t xml:space="preserve">0.25</w:t>
      </w:r>
      <w:r>
        <w:t xml:space="preserve"> </w:t>
      </w:r>
      <w:r>
        <w:t xml:space="preserve">p</w:t>
      </w:r>
      <w:r>
        <w:t xml:space="preserve">0.60</w:t>
      </w:r>
      <w:r>
        <w:t xml:space="preserve"> </w:t>
      </w:r>
      <w:r>
        <w:rPr>
          <w:b/>
          <w:bCs/>
        </w:rPr>
        <w:t xml:space="preserve">Campaign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Key result</w:t>
      </w:r>
      <w:r>
        <w:t xml:space="preserve"> </w:t>
      </w:r>
      <w:r>
        <w:t xml:space="preserve">V1 &amp; Blind spectrum &amp; слепой контроль выполнен; индивидуальные ординаты не предсказываются (r_test в нулевой зон</w:t>
      </w:r>
      <w:r>
        <w:br/>
      </w:r>
      <w:r>
        <w:t xml:space="preserve">V2 &amp; Null models &amp; AB-cloud попадает в GUE-класс вместе с N1/N4; специфичность арифметики измеряется не ⟨r⟩,</w:t>
      </w:r>
      <w:r>
        <w:br/>
      </w:r>
      <w:r>
        <w:t xml:space="preserve">V3 &amp; Lattice scan &amp; минимум D(σ) в окрестности σ = 1/2 отсутствует или неустойчив — специфичность линии измере</w:t>
      </w:r>
      <w:r>
        <w:br/>
      </w:r>
      <w:r>
        <w:t xml:space="preserve">V4 &amp; Hermiticity &amp; Th1 доказана: эрмитовость по построению, спектр вещественен, киральность α=½/W=0 — бипарти</w:t>
      </w:r>
      <w:r>
        <w:br/>
      </w:r>
      <w:r>
        <w:t xml:space="preserve">V5 &amp; Construction certificate &amp; устойчивый степенной закон конечномерной ошибки обнаружен; экстраполяция за пределы прогон</w:t>
      </w:r>
      <w:r>
        <w:br/>
      </w:r>
      <w:r>
        <w:t xml:space="preserve">V6 &amp; Level identity &amp; тождество уровней (n ↔ нуль n) для решёточных затворов — ДА (мост D_nn, v2.0.7); ранговая ветвь на пределе разрешения</w:t>
      </w:r>
      <w:r>
        <w:br/>
      </w:r>
      <w:r>
        <w:t xml:space="preserve">V7 &amp; Trace ↔ primes (Th6) &amp; вес простых Λ(n)/√n доказательно живёт в тепловом следе H_ξ (Th6: |ΔK| ≤ 5e-5); в следах р</w:t>
      </w:r>
      <w:r>
        <w:br/>
      </w:r>
      <w:r>
        <w:t xml:space="preserve">V8 &amp; Self-adjointness &amp; Th2 доказана для конечной размерности; устойчивость предельной модели при смене BC — измер</w:t>
      </w:r>
      <w:r>
        <w:br/>
      </w:r>
      <w:r>
        <w:t xml:space="preserve">V9 &amp; Block reduction &amp; Th5 доказана и верифицирована (тор без вихрей: спектр = объединение блоков характеров, вне</w:t>
      </w:r>
      <w:r>
        <w:br/>
      </w:r>
      <w:r>
        <w:t xml:space="preserve">V10 &amp; Spectral certificates &amp; часть арифметики (заряды) идентифицируема по старшим следам при достаточном k; ранг J &lt; n_</w:t>
      </w:r>
      <w:r>
        <w:br/>
      </w:r>
      <w:r>
        <w:t xml:space="preserve">V11 &amp; Obligation DAG draft &amp; GUE-универсальность выживает при всех режимах разрушения арифметики (⟨r⟩ в классе); арифме</w:t>
      </w:r>
      <w:r>
        <w:br/>
      </w:r>
      <w:r>
        <w:t xml:space="preserve">V12 &amp; Kato certificates &amp; все сертификаты содержат истинные значения; интервалы — гарантированные, а не десятичные д</w:t>
      </w:r>
      <w:r>
        <w:br/>
      </w:r>
      <w:r>
        <w:t xml:space="preserve">V13 &amp; Obligation machine &amp; формальная машина БЛОКИРУЕТ вывод RH: путь к заключению содержит гипотезы O08/O09/O11/O12;</w:t>
      </w:r>
      <w:r>
        <w:br/>
      </w:r>
      <w:r>
        <w:t xml:space="preserve">V14 &amp; Claim audit &amp; каждое публичное утверждение пакета трассируется к вычислению, контролю и перечню не-следс</w:t>
      </w:r>
      <w:r>
        <w:br/>
      </w:r>
      <w:r>
        <w:t xml:space="preserve">V15 &amp; Li formula &amp; Th4 доказана и верифицирована (два пути, |Δ| ≤ 1e-9); λ_n &gt; 0 для n ≤ 3000 измерено с серт</w:t>
      </w:r>
      <w:r>
        <w:br/>
      </w:r>
      <w:r>
        <w:t xml:space="preserve">V16 &amp; Lattice re-check &amp;</w:t>
      </w:r>
      <w:r>
        <w:br/>
      </w:r>
      <w:r>
        <w:t xml:space="preserve">V17 &amp; Trajectories &amp;</w:t>
      </w:r>
      <w:r>
        <w:br/>
      </w:r>
      <w:r>
        <w:t xml:space="preserve">V18 &amp; Pong protocol &amp;</w:t>
      </w:r>
      <w:r>
        <w:br/>
      </w:r>
      <w:r>
        <w:t xml:space="preserve">V19 &amp; Branch stitching &amp;</w:t>
      </w:r>
      <w:r>
        <w:br/>
      </w:r>
      <w:r>
        <w:t xml:space="preserve">V20 &amp; Processor compilation (P0) &amp; 1−F ≤ 4.4e-16; глубина ≤ 7/29</w:t>
      </w:r>
      <w:r>
        <w:br/>
      </w:r>
    </w:p>
    <w:bookmarkEnd w:id="33"/>
    <w:bookmarkStart w:id="34" w:name="how-to-reproduce"/>
    <w:p>
      <w:pPr>
        <w:pStyle w:val="Heading2"/>
      </w:pPr>
      <w:r>
        <w:t xml:space="preserve">8. How to reproduce</w:t>
      </w:r>
    </w:p>
    <w:p>
      <w:pPr>
        <w:pStyle w:val="SourceCode"/>
      </w:pPr>
      <w:r>
        <w:rPr>
          <w:rStyle w:val="VerbatimChar"/>
        </w:rPr>
        <w:t xml:space="preserve">cd modules/core_spectrum</w:t>
      </w:r>
      <w:r>
        <w:br/>
      </w:r>
      <w:r>
        <w:rPr>
          <w:rStyle w:val="VerbatimChar"/>
        </w:rPr>
        <w:t xml:space="preserve">python3 -m pytest tests/ -q              # core tests</w:t>
      </w:r>
      <w:r>
        <w:br/>
      </w:r>
      <w:r>
        <w:rPr>
          <w:rStyle w:val="VerbatimChar"/>
        </w:rPr>
        <w:t xml:space="preserve">python3 scripts/compute_all.py           # rebuild computations</w:t>
      </w:r>
      <w:r>
        <w:br/>
      </w:r>
      <w:r>
        <w:rPr>
          <w:rStyle w:val="VerbatimChar"/>
        </w:rPr>
        <w:t xml:space="preserve">python3 scripts/make_figures.py          # level figures</w:t>
      </w:r>
      <w:r>
        <w:br/>
      </w:r>
      <w:r>
        <w:rPr>
          <w:rStyle w:val="VerbatimChar"/>
        </w:rPr>
        <w:t xml:space="preserve"># web lab: modules/core_spectrum/web_lab/index.html</w:t>
      </w:r>
    </w:p>
    <w:bookmarkEnd w:id="34"/>
    <w:bookmarkStart w:id="35" w:name="further-reading"/>
    <w:p>
      <w:pPr>
        <w:pStyle w:val="Heading2"/>
      </w:pPr>
      <w:r>
        <w:t xml:space="preserve">9. Further reading</w:t>
      </w:r>
    </w:p>
    <w:p>
      <w:pPr>
        <w:numPr>
          <w:ilvl w:val="0"/>
          <w:numId w:val="1003"/>
        </w:numPr>
      </w:pPr>
      <w:r>
        <w:t xml:space="preserve">core docs: modules/core_spectrum/docs/ — theory and methods;</w:t>
      </w:r>
    </w:p>
    <w:p>
      <w:pPr>
        <w:numPr>
          <w:ilvl w:val="0"/>
          <w:numId w:val="1003"/>
        </w:numPr>
      </w:pPr>
      <w:r>
        <w:t xml:space="preserve">level monographs: modules/core_spectrum/monograph/ (incl. appendix_volume);</w:t>
      </w:r>
    </w:p>
    <w:p>
      <w:pPr>
        <w:numPr>
          <w:ilvl w:val="0"/>
          <w:numId w:val="1003"/>
        </w:numPr>
      </w:pPr>
      <w:r>
        <w:t xml:space="preserve">verdicts: modules/core_spectrum/data/v01…v19_verdict.json;</w:t>
      </w:r>
    </w:p>
    <w:p>
      <w:pPr>
        <w:numPr>
          <w:ilvl w:val="0"/>
          <w:numId w:val="1003"/>
        </w:numPr>
      </w:pPr>
      <w:r>
        <w:t xml:space="preserve">formal statements: formal/ — reductions A1–A6.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2026-10-15T11:02:39Z</dcterms:created>
  <dcterms:modified xsi:type="dcterms:W3CDTF">2026-10-15T11:02:39Z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