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Исследовательская программа: спектральное ядро (V01–V19, Th1–Th6, V13)</w:t>
      </w:r>
      <w:r>
        <w:br/>
      </w:r>
      <w:r>
        <w:t xml:space="preserve">Монография исследовательской программы · Версия 1.0.0</w:t>
      </w:r>
      <w:r>
        <w:br/>
      </w:r>
      <w:r>
        <w:t xml:space="preserve">ПРОГРАММА УРОВНЯ · CORE</w:t>
      </w:r>
      <w:r>
        <w:br/>
      </w:r>
      <w:r>
        <w:t xml:space="preserve">Исаев Исхак Хамзатович · ORCID 0009-0003-7299-0701</w:t>
      </w:r>
      <w:r>
        <w:br/>
      </w:r>
      <w:r>
        <w:t xml:space="preserve">AB Cloud Quantum Research · DOI 10.5281/zenodo.21825394</w:t>
      </w:r>
    </w:p>
    <w:bookmarkStart w:id="36" w:name="X48b85babc5c091a8c2f723d5c3a47fb16083ff0"/>
    <w:p>
      <w:pPr>
        <w:pStyle w:val="Heading1"/>
      </w:pPr>
      <w:r>
        <w:t xml:space="preserve">Исследовательская программа: спектральное ядро</w:t>
      </w:r>
    </w:p>
    <w:p>
      <w:pPr>
        <w:pStyle w:val="FirstParagraph"/>
      </w:pPr>
      <w:r>
        <w:rPr>
          <w:i/>
          <w:iCs/>
        </w:rPr>
        <w:t xml:space="preserve">Программа ядра отвечает за математическую основу AB-архитектуры: слепой спектр, нуль-модели, критическую прямую, следовую формулу, машину обязательств и сшивку ветвей. Девятнадцать кампаний и шесть теорем образуют закрытый контур: конструкция → сертификат → формальная постановка → независимая проверка.</w:t>
      </w:r>
    </w:p>
    <w:bookmarkStart w:id="20" w:name="цели-программы"/>
    <w:p>
      <w:pPr>
        <w:pStyle w:val="Heading2"/>
      </w:pPr>
      <w:r>
        <w:t xml:space="preserve">1. Цели программы</w:t>
      </w:r>
    </w:p>
    <w:p>
      <w:pPr>
        <w:numPr>
          <w:ilvl w:val="0"/>
          <w:numId w:val="1001"/>
        </w:numPr>
      </w:pPr>
      <w:r>
        <w:t xml:space="preserve">построить эрмитов оператор H</w:t>
      </w:r>
      <w:r>
        <w:rPr>
          <w:vertAlign w:val="subscript"/>
        </w:rPr>
        <w:t xml:space="preserve">ξ</w:t>
      </w:r>
      <w:r>
        <w:t xml:space="preserve">, тепловое разложение которого несёт арифметику простых (Λ(n)/√n);</w:t>
      </w:r>
    </w:p>
    <w:p>
      <w:pPr>
        <w:numPr>
          <w:ilvl w:val="0"/>
          <w:numId w:val="1001"/>
        </w:numPr>
      </w:pPr>
      <w:r>
        <w:t xml:space="preserve">доказать корректность конструкции: эрмитичность (Th1), самосопряжённость (Th2), кутовские сертификаты (Th3), формула Ли (Th4), блочная редукция (Th5), гуинанд–вайлевское соответствие (Th6);</w:t>
      </w:r>
    </w:p>
    <w:p>
      <w:pPr>
        <w:numPr>
          <w:ilvl w:val="0"/>
          <w:numId w:val="1001"/>
        </w:numPr>
      </w:pPr>
      <w:r>
        <w:t xml:space="preserve">отделить арифметическую специфичность от GUE-статистики — включая честные отрицательные ответы на решётках;</w:t>
      </w:r>
    </w:p>
    <w:p>
      <w:pPr>
        <w:numPr>
          <w:ilvl w:val="0"/>
          <w:numId w:val="1001"/>
        </w:numPr>
      </w:pPr>
      <w:r>
        <w:t xml:space="preserve">зафиксировать статус RH машиной обязательств V13 — и держать его заблокированным, пока гипотезы не доказаны.</w:t>
      </w:r>
    </w:p>
    <w:bookmarkEnd w:id="20"/>
    <w:bookmarkStart w:id="21" w:name="методология"/>
    <w:p>
      <w:pPr>
        <w:pStyle w:val="Heading2"/>
      </w:pPr>
      <w:r>
        <w:t xml:space="preserve">2. Методология</w:t>
      </w:r>
    </w:p>
    <w:p>
      <w:pPr>
        <w:pStyle w:val="FirstParagraph"/>
      </w:pPr>
      <w:r>
        <w:t xml:space="preserve">Каждая кампания начинается с протокола предрегистрации: пороги фиксируются до прогона. Слепые протоколы применяются там, где есть эталон (V01: калибровка/тест без утечки). Все производные артефакты (плитки, документы) строятся только из закоммиченных вердиктов. Формальные постановки дублируются в Lean 4, Coq, Agda и Isabelle (редукции A1–A6, без sorry/admit).</w:t>
      </w:r>
    </w:p>
    <w:bookmarkEnd w:id="21"/>
    <w:bookmarkStart w:id="22" w:name="исполненные-кампании"/>
    <w:p>
      <w:pPr>
        <w:pStyle w:val="Heading2"/>
      </w:pPr>
      <w:r>
        <w:t xml:space="preserve">3. Исполненные кампании</w:t>
      </w:r>
    </w:p>
    <w:p>
      <w:pPr>
        <w:pStyle w:val="FirstParagraph"/>
      </w:pPr>
      <w:r>
        <w:t xml:space="preserve">p</w:t>
      </w:r>
      <w:r>
        <w:t xml:space="preserve">0.10</w:t>
      </w:r>
      <w:r>
        <w:t xml:space="preserve"> </w:t>
      </w:r>
      <w:r>
        <w:t xml:space="preserve">p</w:t>
      </w:r>
      <w:r>
        <w:t xml:space="preserve">0.29</w:t>
      </w:r>
      <w:r>
        <w:t xml:space="preserve"> </w:t>
      </w:r>
      <w:r>
        <w:t xml:space="preserve">p</w:t>
      </w:r>
      <w:r>
        <w:t xml:space="preserve">0.58</w:t>
      </w:r>
      <w:r>
        <w:t xml:space="preserve"> </w:t>
      </w:r>
      <w:r>
        <w:rPr>
          <w:b/>
          <w:bCs/>
        </w:rPr>
        <w:t xml:space="preserve">Кампания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Содержание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Ключевой результат</w:t>
      </w:r>
      <w:r>
        <w:t xml:space="preserve"> </w:t>
      </w:r>
      <w:r>
        <w:t xml:space="preserve">V01 &amp; слепой спектр &amp; статистика согласована; индивидуальные ординаты не предсказываются (честный негатив)</w:t>
      </w:r>
      <w:r>
        <w:br/>
      </w:r>
      <w:r>
        <w:t xml:space="preserve">V02 &amp; нуль-модели &amp; AB-облако в GUE-классе; специфичность измеряется тонкой структурой</w:t>
      </w:r>
      <w:r>
        <w:br/>
      </w:r>
      <w:r>
        <w:t xml:space="preserve">V03 &amp; σ-скан решёток &amp; зоны согласия с ζ не найдено</w:t>
      </w:r>
      <w:r>
        <w:br/>
      </w:r>
      <w:r>
        <w:t xml:space="preserve">V04 &amp; эрмитичность &amp; Th1: ‖H − H†‖ = 0.0; симметрия λ ↔ −λ при α = ½</w:t>
      </w:r>
      <w:r>
        <w:br/>
      </w:r>
      <w:r>
        <w:t xml:space="preserve">V05 &amp; сертификат конструкции &amp; конструкционные границы зафиксированы</w:t>
      </w:r>
      <w:r>
        <w:br/>
      </w:r>
      <w:r>
        <w:t xml:space="preserve">V06 &amp; тождество уровней &amp; затворы на уровне нулей — ДА (мост D_nn, v2.0.7); битовая ветвь открыта</w:t>
      </w:r>
      <w:r>
        <w:br/>
      </w:r>
      <w:r>
        <w:t xml:space="preserve">V07 &amp; след ↔ простые &amp; Th6: r = 0.9996; контроль решётки 0.76; эрратум B/C₀</w:t>
      </w:r>
      <w:r>
        <w:br/>
      </w:r>
      <w:r>
        <w:t xml:space="preserve">V08 &amp; самосопряжённость &amp; Th2: дефекты (0,0); дрейф унитарности 2.2e−16</w:t>
      </w:r>
      <w:r>
        <w:br/>
      </w:r>
      <w:r>
        <w:t xml:space="preserve">V09 &amp; блочная редукция &amp; Th5: объединение блоков ≈ спектр до 7.1e−15</w:t>
      </w:r>
      <w:r>
        <w:br/>
      </w:r>
      <w:r>
        <w:t xml:space="preserve">V10 &amp; спектральные сертификаты &amp; сертификаты согласованы с кутовскими оценками</w:t>
      </w:r>
      <w:r>
        <w:br/>
      </w:r>
      <w:r>
        <w:t xml:space="preserve">V11 &amp; черновик DAG обязательств &amp; структура пути к RH зафиксирована</w:t>
      </w:r>
      <w:r>
        <w:br/>
      </w:r>
      <w:r>
        <w:t xml:space="preserve">V12 &amp; кутовские сертификаты &amp; Th3: ширины ~1e−27 (dps 40)</w:t>
      </w:r>
      <w:r>
        <w:br/>
      </w:r>
      <w:r>
        <w:t xml:space="preserve">V13 &amp; машина обязательств &amp; RH blocked: 5 proven / 3 computed / 4 assumed</w:t>
      </w:r>
      <w:r>
        <w:br/>
      </w:r>
      <w:r>
        <w:t xml:space="preserve">V14 &amp; аудит заявлений &amp; claim-файлы согласованы с вердиктами</w:t>
      </w:r>
      <w:r>
        <w:br/>
      </w:r>
      <w:r>
        <w:t xml:space="preserve">V15 &amp; формула Ли &amp; Th4: два пути ≤ 4.4e−11; сходимость абсолютная</w:t>
      </w:r>
      <w:r>
        <w:br/>
      </w:r>
      <w:r>
        <w:t xml:space="preserve">V16 &amp; повторная решёточная проверка &amp; уровень — ДА подтверждён; битовая ветвь открыта (z = 2.49)</w:t>
      </w:r>
      <w:r>
        <w:br/>
      </w:r>
      <w:r>
        <w:t xml:space="preserve">V17 &amp; траектории &amp; чтение идемпотентно; деградации нет</w:t>
      </w:r>
      <w:r>
        <w:br/>
      </w:r>
      <w:r>
        <w:t xml:space="preserve">V18 &amp; pong-протокол &amp; латентность ограничена; журнал не растёт</w:t>
      </w:r>
      <w:r>
        <w:br/>
      </w:r>
      <w:r>
        <w:t xml:space="preserve">V19 &amp; сшивка ветвей &amp; θ-лестница 0.832; когерентность 0.9995; Z₂-монодромия</w:t>
      </w:r>
      <w:r>
        <w:br/>
      </w:r>
    </w:p>
    <w:bookmarkEnd w:id="22"/>
    <w:bookmarkStart w:id="23" w:name="следующая-волна"/>
    <w:p>
      <w:pPr>
        <w:pStyle w:val="Heading2"/>
      </w:pPr>
      <w:r>
        <w:t xml:space="preserve">4. Следующая волна</w:t>
      </w:r>
    </w:p>
    <w:p>
      <w:pPr>
        <w:numPr>
          <w:ilvl w:val="0"/>
          <w:numId w:val="1002"/>
        </w:numPr>
      </w:pPr>
      <w:r>
        <w:t xml:space="preserve">уточнение сшивки: r_align ≤ 0.135 на расширенной сетке высот;</w:t>
      </w:r>
    </w:p>
    <w:p>
      <w:pPr>
        <w:numPr>
          <w:ilvl w:val="0"/>
          <w:numId w:val="1002"/>
        </w:numPr>
      </w:pPr>
      <w:r>
        <w:t xml:space="preserve">монодромия ζ как алгебраический объект: формализация V19;</w:t>
      </w:r>
    </w:p>
    <w:p>
      <w:pPr>
        <w:numPr>
          <w:ilvl w:val="0"/>
          <w:numId w:val="1002"/>
        </w:numPr>
      </w:pPr>
      <w:r>
        <w:t xml:space="preserve">компиляция обязательств в Lean/Coq: O-lean/O-coq — перенос DAG V13 в формальный слой;</w:t>
      </w:r>
    </w:p>
    <w:p>
      <w:pPr>
        <w:numPr>
          <w:ilvl w:val="0"/>
          <w:numId w:val="1002"/>
        </w:numPr>
      </w:pPr>
      <w:r>
        <w:t xml:space="preserve">расширение сертификатов Th3–Th4 на большие размеры.</w:t>
      </w:r>
    </w:p>
    <w:bookmarkEnd w:id="23"/>
    <w:bookmarkStart w:id="24" w:name="честные-границы"/>
    <w:p>
      <w:pPr>
        <w:pStyle w:val="Heading2"/>
      </w:pPr>
      <w:r>
        <w:t xml:space="preserve">5. Честные границы</w:t>
      </w:r>
    </w:p>
    <w:p>
      <w:pPr>
        <w:pStyle w:val="FirstParagraph"/>
      </w:pPr>
      <w:r>
        <w:t xml:space="preserve">Индивидуальные ординаты не предсказываются слепым спектром — статистика согласована, оракула нет. Гипотезы O08/O09/O11/O12 не сняты: RH остаётся blocked. Вихревые члены ломают Th5. Решёточные конструкции не воспроизводят арифметику ζ. Эти границы — часть результата, а не его изъян.</w:t>
      </w:r>
    </w:p>
    <w:bookmarkEnd w:id="24"/>
    <w:bookmarkStart w:id="25" w:name="разбор-ключевых-кампаний"/>
    <w:p>
      <w:pPr>
        <w:pStyle w:val="Heading2"/>
      </w:pPr>
      <w:r>
        <w:t xml:space="preserve">6. Разбор ключевых кампаний</w:t>
      </w:r>
    </w:p>
    <w:bookmarkEnd w:id="25"/>
    <w:bookmarkStart w:id="32" w:name="шесть-кампаний-определивших-ядро"/>
    <w:p>
      <w:pPr>
        <w:pStyle w:val="Heading2"/>
      </w:pPr>
      <w:r>
        <w:t xml:space="preserve">6.1. Шесть кампаний, определивших ядро</w:t>
      </w:r>
    </w:p>
    <w:bookmarkStart w:id="26" w:name="v01-слепой-спектр"/>
    <w:p>
      <w:pPr>
        <w:pStyle w:val="Heading3"/>
      </w:pPr>
      <w:r>
        <w:t xml:space="preserve">V01 — слепой спектр</w:t>
      </w:r>
    </w:p>
    <w:p>
      <w:pPr>
        <w:pStyle w:val="FirstParagraph"/>
      </w:pPr>
      <w:r>
        <w:t xml:space="preserve">Кампания построена как строгая проверка без утечки: оператор калибруется на 600 ординатах, тестируется на других 600. Результат двойственный и оба его компонента важны. Положительный: статистика тестового набора согласована с ожиданиями конструкции — корреляции в пределах контрольных зон. Отрицательный: индивидуальные ординаты не предсказываются. Практический вывод: модель годится как счётчик согласованности, но не как оракул; любой будущий claim о «предсказании нулей» обязан сначала опровергнуть этот вердикт.</w:t>
      </w:r>
    </w:p>
    <w:bookmarkEnd w:id="26"/>
    <w:bookmarkStart w:id="27" w:name="v02-нуль-модели-и-gue"/>
    <w:p>
      <w:pPr>
        <w:pStyle w:val="Heading3"/>
      </w:pPr>
      <w:r>
        <w:t xml:space="preserve">V02 — нуль-модели и GUE</w:t>
      </w:r>
    </w:p>
    <w:p>
      <w:pPr>
        <w:pStyle w:val="FirstParagraph"/>
      </w:pPr>
      <w:r>
        <w:t xml:space="preserve">Сравнение с четырьмя нуль-моделями (M0, N1, N4 и референсы) по r_mean, Σ₂, Δ₃ и KS-статистике показало: AB-облако попадает в GUE-класс вместе с контрольными моделями (r_mean 0.6093 против 0.5837 у случайных фаз, KS 0.0499). Отсюда методологическое правило программы: GUE-согласие — необходимое, но не достаточное условие; арифметическая специфичность ищется отдельно — в следе, константах и поведении.</w:t>
      </w:r>
    </w:p>
    <w:bookmarkEnd w:id="27"/>
    <w:bookmarkStart w:id="28" w:name="v07-след-простые"/>
    <w:p>
      <w:pPr>
        <w:pStyle w:val="Heading3"/>
      </w:pPr>
      <w:r>
        <w:t xml:space="preserve">V07 — след ↔ простые</w:t>
      </w:r>
    </w:p>
    <w:p>
      <w:pPr>
        <w:pStyle w:val="FirstParagraph"/>
      </w:pPr>
      <w:r>
        <w:t xml:space="preserve">Центральная арифметическая кампания ядра. Тепловой след K(x) = Tr e^(−xH) разворачивается в ряд, коэффициенты которого несут Λ(n)/√n — содержание Th6. Корреляция следа с суммой по простым r = 0.9996; контроль на решётке без арифметики даёт 0.76; разрыв и есть измеренная специфичность. Побочный, но важный результат — эрратум констант B/C₀: ошибка найдена независимым выводом и исправлена в том же вердикте.</w:t>
      </w:r>
    </w:p>
    <w:bookmarkEnd w:id="28"/>
    <w:bookmarkStart w:id="29" w:name="v12-кутовские-сертификаты"/>
    <w:p>
      <w:pPr>
        <w:pStyle w:val="Heading3"/>
      </w:pPr>
      <w:r>
        <w:t xml:space="preserve">V12 — кутовские сертификаты</w:t>
      </w:r>
    </w:p>
    <w:p>
      <w:pPr>
        <w:pStyle w:val="FirstParagraph"/>
      </w:pPr>
      <w:r>
        <w:t xml:space="preserve">Кампания отвечает на вопрос «насколько можно доверять вычисленному собственному значению». Кутовская теория даёт коридор δ²/gap плюс гершгориновскую добавку; численно ширины порядка 1e−27 при сорока значащих цифрах. Редкая ситуация: ошибка оценки известна лучше, чем сама оценка. Именно эти сертификаты позже становятся основой статуса computed в машине обязательств.</w:t>
      </w:r>
    </w:p>
    <w:bookmarkEnd w:id="29"/>
    <w:bookmarkStart w:id="30" w:name="v13-машина-обязательств"/>
    <w:p>
      <w:pPr>
        <w:pStyle w:val="Heading3"/>
      </w:pPr>
      <w:r>
        <w:t xml:space="preserve">V13 — машина обязательств</w:t>
      </w:r>
    </w:p>
    <w:p>
      <w:pPr>
        <w:pStyle w:val="FirstParagraph"/>
      </w:pPr>
      <w:r>
        <w:t xml:space="preserve">Исполняемый DAG пути к RH: пять узлов proven, три computed, четыре assumed (O08, O09, O11, O12); заключение автоматически blocked. Вердикт-примечание фиксирует принципиальное: ни одна численная проверка не повышает статус. Кампания превратила программу из набора результатов в систему обязательств с проверяемыми статусами.</w:t>
      </w:r>
    </w:p>
    <w:bookmarkEnd w:id="30"/>
    <w:bookmarkStart w:id="31" w:name="v19-сшивка-ветвей"/>
    <w:p>
      <w:pPr>
        <w:pStyle w:val="Heading3"/>
      </w:pPr>
      <w:r>
        <w:t xml:space="preserve">V19 — сшивка ветвей</w:t>
      </w:r>
    </w:p>
    <w:p>
      <w:pPr>
        <w:pStyle w:val="FirstParagraph"/>
      </w:pPr>
      <w:r>
        <w:t xml:space="preserve">Финальная алгебраическая кампания ядра: ветви спектральной конструкции сшиты θ-лестницей с согласованием 0.832 и когерентностью 0.9995 (z = 43.4); монодромия Z₂. Сертификат алгебраический: обход ветвления дважды возвращает в исходную ветвь. Сшивка замыкает конструкцию и открывает дорожную карту R2: уточнение r_align ≤ 0.135 и формализация монодромии.</w:t>
      </w:r>
    </w:p>
    <w:bookmarkEnd w:id="31"/>
    <w:bookmarkEnd w:id="32"/>
    <w:bookmarkStart w:id="33" w:name="полная-таблица-кампаний"/>
    <w:p>
      <w:pPr>
        <w:pStyle w:val="Heading2"/>
      </w:pPr>
      <w:r>
        <w:t xml:space="preserve">7. Полная таблица кампаний</w:t>
      </w:r>
    </w:p>
    <w:p>
      <w:pPr>
        <w:pStyle w:val="FirstParagraph"/>
      </w:pPr>
      <w:r>
        <w:t xml:space="preserve">p</w:t>
      </w:r>
      <w:r>
        <w:t xml:space="preserve">0.12</w:t>
      </w:r>
      <w:r>
        <w:t xml:space="preserve"> </w:t>
      </w:r>
      <w:r>
        <w:t xml:space="preserve">p</w:t>
      </w:r>
      <w:r>
        <w:t xml:space="preserve">0.25</w:t>
      </w:r>
      <w:r>
        <w:t xml:space="preserve"> </w:t>
      </w:r>
      <w:r>
        <w:t xml:space="preserve">p</w:t>
      </w:r>
      <w:r>
        <w:t xml:space="preserve">0.60</w:t>
      </w:r>
      <w:r>
        <w:t xml:space="preserve"> </w:t>
      </w:r>
      <w:r>
        <w:rPr>
          <w:b/>
          <w:bCs/>
        </w:rPr>
        <w:t xml:space="preserve">Кампания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Название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Ключевой результат</w:t>
      </w:r>
      <w:r>
        <w:t xml:space="preserve"> </w:t>
      </w:r>
      <w:r>
        <w:t xml:space="preserve">V1 &amp; Слепой спектр &amp; слепой контроль выполнен; индивидуальные ординаты не предсказываются (r_test в нулевой зон</w:t>
      </w:r>
      <w:r>
        <w:br/>
      </w:r>
      <w:r>
        <w:t xml:space="preserve">V2 &amp; Нуль-модели &amp; AB-cloud попадает в GUE-класс вместе с N1/N4; специфичность арифметики измеряется не ⟨r⟩,</w:t>
      </w:r>
      <w:r>
        <w:br/>
      </w:r>
      <w:r>
        <w:t xml:space="preserve">V3 &amp; Скан критической линии &amp; минимум D(σ) в окрестности σ = 1/2 отсутствует или неустойчив — специфичность линии измере</w:t>
      </w:r>
      <w:r>
        <w:br/>
      </w:r>
      <w:r>
        <w:t xml:space="preserve">V4 &amp; Паспорт оператора (Th1) &amp; Th1 доказана: эрмитовость по построению, спектр вещественен, киральность α=½/W=0 — бипарти</w:t>
      </w:r>
      <w:r>
        <w:br/>
      </w:r>
      <w:r>
        <w:t xml:space="preserve">V5 &amp; Предел решётки &amp; устойчивый степенной закон конечномерной ошибки обнаружен; экстраполяция за пределы прогон</w:t>
      </w:r>
      <w:r>
        <w:br/>
      </w:r>
      <w:r>
        <w:t xml:space="preserve">V6 &amp; Спектральное тождество &amp; тождество уровней (n ↔ нуль n) для решёточных затворов — ДА (мост D_nn, v2.0.7); ранговая ветвь на пределе разрешения</w:t>
      </w:r>
      <w:r>
        <w:br/>
      </w:r>
      <w:r>
        <w:t xml:space="preserve">V7 &amp; Следовая формула (Th6) &amp; вес простых Λ(n)/√n доказательно живёт в тепловом следе H_ξ (Th6: |ΔK| ≤ 5e-5); в следах р</w:t>
      </w:r>
      <w:r>
        <w:br/>
      </w:r>
      <w:r>
        <w:t xml:space="preserve">V8 &amp; Самосопряжённость (Th2) &amp; Th2 доказана для конечной размерности; устойчивость предельной модели при смене BC — измер</w:t>
      </w:r>
      <w:r>
        <w:br/>
      </w:r>
      <w:r>
        <w:t xml:space="preserve">V9 &amp; Блочная редукция (Th5) &amp; Th5 доказана и верифицирована (тор без вихрей: спектр = объединение блоков характеров, вне</w:t>
      </w:r>
      <w:r>
        <w:br/>
      </w:r>
      <w:r>
        <w:t xml:space="preserve">V10 &amp; Обратная задача &amp; часть арифметики (заряды) идентифицируема по старшим следам при достаточном k; ранг J &lt; n_</w:t>
      </w:r>
      <w:r>
        <w:br/>
      </w:r>
      <w:r>
        <w:t xml:space="preserve">V11 &amp; Универсальность &amp; GUE-универсальность выживает при всех режимах разрушения арифметики (⟨r⟩ в классе); арифме</w:t>
      </w:r>
      <w:r>
        <w:br/>
      </w:r>
      <w:r>
        <w:t xml:space="preserve">V12 &amp; Сертификаты (Th3) &amp; все сертификаты содержат истинные значения; интервалы — гарантированные, а не десятичные д</w:t>
      </w:r>
      <w:r>
        <w:br/>
      </w:r>
      <w:r>
        <w:t xml:space="preserve">V13 &amp; Машина обязательств &amp; формальная машина БЛОКИРУЕТ вывод RH: путь к заключению содержит гипотезы O08/O09/O11/O12;</w:t>
      </w:r>
      <w:r>
        <w:br/>
      </w:r>
      <w:r>
        <w:t xml:space="preserve">V14 &amp; Аудит утверждений &amp; каждое публичное утверждение пакета трассируется к вычислению, контролю и перечню не-следс</w:t>
      </w:r>
      <w:r>
        <w:br/>
      </w:r>
      <w:r>
        <w:t xml:space="preserve">V15 &amp; Критерий Ли (Th4) &amp; Th4 доказана и верифицирована (два пути, |Δ| ≤ 1e-9); λ_n &gt; 0 для n ≤ 3000 измерено с серт</w:t>
      </w:r>
      <w:r>
        <w:br/>
      </w:r>
      <w:r>
        <w:t xml:space="preserve">V16 &amp; Полный гамильтониан &amp;</w:t>
      </w:r>
      <w:r>
        <w:br/>
      </w:r>
      <w:r>
        <w:t xml:space="preserve">V17 &amp; Электрон на критической прямой &amp;</w:t>
      </w:r>
      <w:r>
        <w:br/>
      </w:r>
      <w:r>
        <w:t xml:space="preserve">V18 &amp; AB-оператор как процессор &amp;</w:t>
      </w:r>
      <w:r>
        <w:br/>
      </w:r>
      <w:r>
        <w:t xml:space="preserve">V19 &amp; Сшивка ветвей &amp;</w:t>
      </w:r>
      <w:r>
        <w:br/>
      </w:r>
      <w:r>
        <w:t xml:space="preserve">V20 &amp; Компилятор AB-облаков (P0) &amp; 1−F ≤ 4.4e-16; глубина ≤ 7/29</w:t>
      </w:r>
      <w:r>
        <w:br/>
      </w:r>
    </w:p>
    <w:bookmarkEnd w:id="33"/>
    <w:bookmarkStart w:id="34" w:name="как-воспроизвести"/>
    <w:p>
      <w:pPr>
        <w:pStyle w:val="Heading2"/>
      </w:pPr>
      <w:r>
        <w:t xml:space="preserve">8. Как воспроизвести</w:t>
      </w:r>
    </w:p>
    <w:p>
      <w:pPr>
        <w:pStyle w:val="SourceCode"/>
      </w:pPr>
      <w:r>
        <w:rPr>
          <w:rStyle w:val="VerbatimChar"/>
        </w:rPr>
        <w:t xml:space="preserve">cd modules/core_spectrum</w:t>
      </w:r>
      <w:r>
        <w:br/>
      </w:r>
      <w:r>
        <w:rPr>
          <w:rStyle w:val="VerbatimChar"/>
        </w:rPr>
        <w:t xml:space="preserve">python3 -m pytest tests/ -q              # тесты ядра</w:t>
      </w:r>
      <w:r>
        <w:br/>
      </w:r>
      <w:r>
        <w:rPr>
          <w:rStyle w:val="VerbatimChar"/>
        </w:rPr>
        <w:t xml:space="preserve">python3 scripts/compute_all.py           # пересборка вычислений</w:t>
      </w:r>
      <w:r>
        <w:br/>
      </w:r>
      <w:r>
        <w:rPr>
          <w:rStyle w:val="VerbatimChar"/>
        </w:rPr>
        <w:t xml:space="preserve">python3 scripts/make_figures.py          # фигуры уровня</w:t>
      </w:r>
      <w:r>
        <w:br/>
      </w:r>
      <w:r>
        <w:rPr>
          <w:rStyle w:val="VerbatimChar"/>
        </w:rPr>
        <w:t xml:space="preserve"># веб-лаборатория: modules/core_spectrum/web_lab/index.html</w:t>
      </w:r>
    </w:p>
    <w:bookmarkEnd w:id="34"/>
    <w:bookmarkStart w:id="35" w:name="что-читать-дальше"/>
    <w:p>
      <w:pPr>
        <w:pStyle w:val="Heading2"/>
      </w:pPr>
      <w:r>
        <w:t xml:space="preserve">9. Что читать дальше</w:t>
      </w:r>
    </w:p>
    <w:p>
      <w:pPr>
        <w:numPr>
          <w:ilvl w:val="0"/>
          <w:numId w:val="1003"/>
        </w:numPr>
      </w:pPr>
      <w:r>
        <w:t xml:space="preserve">docs ядра: modules/core_spectrum/docs/ — теория и методы;</w:t>
      </w:r>
    </w:p>
    <w:p>
      <w:pPr>
        <w:numPr>
          <w:ilvl w:val="0"/>
          <w:numId w:val="1003"/>
        </w:numPr>
      </w:pPr>
      <w:r>
        <w:t xml:space="preserve">монографии уровня: modules/core_spectrum/monograph/ (включая appendix_volume);</w:t>
      </w:r>
    </w:p>
    <w:p>
      <w:pPr>
        <w:numPr>
          <w:ilvl w:val="0"/>
          <w:numId w:val="1003"/>
        </w:numPr>
      </w:pPr>
      <w:r>
        <w:t xml:space="preserve">вердикты: modules/core_spectrum/data/v01…v19_verdict.json;</w:t>
      </w:r>
    </w:p>
    <w:p>
      <w:pPr>
        <w:numPr>
          <w:ilvl w:val="0"/>
          <w:numId w:val="1003"/>
        </w:numPr>
      </w:pPr>
      <w:r>
        <w:t xml:space="preserve">формальные постановки: formal/ — редукции A1–A6.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2026-10-15T11:02:39Z</dcterms:created>
  <dcterms:modified xsi:type="dcterms:W3CDTF">2026-10-15T11:02:39Z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