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1B16" w:val="clear"/>
            <w:vAlign w:val="top"/>
          </w:tcPr>
          <w:p>
            <w:pPr>
              <w:spacing w:before="3737"/>
            </w:pPr>
          </w:p>
          <w:p>
            <w:pPr>
              <w:pBdr>
                <w:bottom w:val="single" w:color="C96F4A" w:sz="6" w:space="8"/>
              </w:pBdr>
              <w:spacing w:after="500"/>
              <w:ind w:left="1200" w:right="800"/>
            </w:pPr>
            <w:r>
              <w:rPr>
                <w:rFonts w:ascii="Calibri" w:hAnsi="Calibri"/>
                <w:color w:val="C96F4A"/>
                <w:sz w:val="18"/>
                <w:szCs w:val="18"/>
              </w:rPr>
              <w:t xml:space="preserve">R  E  S  E  A  R  C  H     P  R  O  G  R  A  M     ·     V  E  R  I  F  I  C  A  T  I  O  N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80"/>
                <w:szCs w:val="80"/>
              </w:rPr>
              <w:t xml:space="preserve">Research Program: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80"/>
                <w:szCs w:val="80"/>
              </w:rPr>
              <w:t xml:space="preserve">The Verification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80"/>
                <w:szCs w:val="80"/>
              </w:rPr>
              <w:t xml:space="preserve">Platform (E01–E18, O-J)</w:t>
            </w:r>
          </w:p>
          <w:p>
            <w:pPr>
              <w:spacing w:after="800"/>
              <w:ind w:left="1200"/>
            </w:pPr>
            <w:r>
              <w:rPr>
                <w:rFonts w:ascii="Times New Roman" w:hAnsi="Times New Roman"/>
                <w:color w:val="B8A99C"/>
                <w:sz w:val="24"/>
                <w:szCs w:val="24"/>
              </w:rPr>
              <w:t xml:space="preserve">Research Program Monograph · Version 1.0.0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Isaev Iskhak Khamzatovich · ORCID 0009-0003-7299-0701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AB Cloud Quantum Research · DOI 10.5281/zenodo.21825394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Style: Critical Line &amp; Copper</w:t>
            </w:r>
          </w:p>
          <w:p>
            <w:pPr>
              <w:spacing w:before="3737"/>
            </w:pPr>
          </w:p>
          <w:p>
            <w:pPr>
              <w:pBdr>
                <w:top w:val="single" w:color="C96F4A" w:sz="2" w:space="8"/>
              </w:pBdr>
              <w:tabs>
                <w:tab w:val="right" w:pos="9026"/>
              </w:tabs>
              <w:spacing w:before="200"/>
              <w:ind w:left="1200" w:right="800"/>
            </w:pPr>
            <w:r>
              <w:rPr>
                <w:rFonts w:ascii="Times New Roman" w:hAnsi="Times New Roman"/>
                <w:color w:val="8A7A6E"/>
                <w:sz w:val="16"/>
                <w:szCs w:val="16"/>
              </w:rPr>
              <w:t xml:space="preserve">AB CLOUD QUANTUM RESEARCH · v1.0.0</w:t>
            </w:r>
            <w:r>
              <w:t xml:space="preserve">	</w:t>
            </w:r>
            <w:r>
              <w:rPr>
                <w:rFonts w:ascii="Times New Roman" w:hAnsi="Times New Roman"/>
                <w:color w:val="8A7A6E"/>
                <w:sz w:val="16"/>
                <w:szCs w:val="16"/>
              </w:rPr>
              <w:t xml:space="preserve">2026 · PROPRIETARY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Research Program: The Verification Platform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Research Program: The Verification Platform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 Program goals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 Methodology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 Executed campaigns E01–E18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 The O-J roadmap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 Honest boundaries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 Key campaigns in detail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6.1. From infrastructure to flagships</w:t>
          </w:r>
          <w:r>
            <w:tab/>
          </w:r>
          <w:r>
            <w:t>4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E11 — the blind ζ reader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E16 — the independent Riemann–Siegel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E17 — blind zeros T=1000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E18 — class B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E12–E14 — optics and nonlocality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 How to reproduce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 Pins and integrity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 Further reading</w:t>
          </w:r>
          <w:r>
            <w:tab/>
          </w:r>
          <w:r>
            <w:t>6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40" w:bottom="1440" w:left="1440" w:header="708" w:footer="708" w:gutter="0"/>
          <w:pgNumType w:start="1" w:fmt="upperRoman"/>
          <w:docGrid w:linePitch="360"/>
        </w:sectPr>
      </w:pPr>
      <w:r>
        <w:rPr>
          <w:rFonts w:ascii="Times New Roman" w:hAnsi="Times New Roman"/>
          <w:i/>
          <w:iCs/>
          <w:color w:val="888888"/>
          <w:sz w:val="18"/>
          <w:szCs w:val="18"/>
        </w:rPr>
        <w:t xml:space="preserve">Note: This Table of Contents is generated via field codes. To ensure page number accuracy after editing, please right-click the TOC and select "Update Field."</w:t>
      </w:r>
    </w:p>
    <w:p>
      <w:pPr>
        <w:pStyle w:val="Heading1"/>
        <w:spacing w:after="160" w:before="360" w:line="312"/>
      </w:pPr>
      <w:bookmarkStart w:name="_Toc1" w:id="1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Research Program: The Verification Platform</w:t>
      </w:r>
      <w:bookmarkEnd w:id="1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The verification program is the independent judge of the program: a Julia platform sharing no code with the core or the processor, blind protocols, SHA pins, cross-language replication. Eighteen verdicts PASS; the next wave — QEC memory, digital twin, integration.</w:t>
      </w:r>
    </w:p>
    <w:p>
      <w:pPr>
        <w:pStyle w:val="Heading2"/>
        <w:spacing w:after="120" w:before="280" w:line="312"/>
      </w:pPr>
      <w:bookmarkStart w:name="_Toc2" w:id="2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1. Program goals</w:t>
      </w:r>
      <w:bookmarkEnd w:id="2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re-check the core and the processor with an independent implementation;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perform blind reading of ζ zeros by two engines up to T = 1000;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run the fair compiler benchmark (class B);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build the QEC layer and the digital twin of the machine.</w:t>
      </w:r>
    </w:p>
    <w:p>
      <w:pPr>
        <w:pStyle w:val="Heading2"/>
        <w:spacing w:after="120" w:before="280" w:line="312"/>
      </w:pPr>
      <w:bookmarkStart w:name="_Toc3" w:id="3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2. Methodology</w:t>
      </w:r>
      <w:bookmarkEnd w:id="3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Detector and validator are separated; outputs are SHA256-pinned before validation; thresholds are pre-registered. Cross-language replication: Julia BigFloat ↔ Python mpmath (0.0 disagreement), numpy replicas (0 counter mismatches). Implementation independence is a design principle, not a circumstance.</w:t>
      </w:r>
    </w:p>
    <w:p>
      <w:pPr>
        <w:pStyle w:val="Heading2"/>
        <w:spacing w:after="120" w:before="280" w:line="312"/>
      </w:pPr>
      <w:bookmarkStart w:name="_Toc4" w:id="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3. Executed campaigns E01–E18</w:t>
      </w:r>
      <w:bookmarkEnd w:id="4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Table 3.3. Verification campaigns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986"/>
        <w:gridCol w:w="1444"/>
        <w:gridCol w:w="5596"/>
      </w:tblGrid>
      <w:tr>
        <w:trPr>
          <w:cantSplit/>
          <w:tblHeader/>
        </w:trPr>
        <w:tc>
          <w:tcPr>
            <w:tcW w:type="pct" w:w="1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pct" w:w="8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Campaigns</w:t>
            </w:r>
          </w:p>
        </w:tc>
        <w:tc>
          <w:tcPr>
            <w:tcW w:type="pct" w:w="3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Key results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infrastructure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E01–E10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controls, Haar, scaling, replays, noise, code, ALU, cost, readout</w:t>
            </w:r>
          </w:p>
        </w:tc>
      </w:tr>
      <w:tr>
        <w:trPr>
          <w:cantSplit/>
        </w:trPr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ζ reading</w:t>
            </w:r>
          </w:p>
        </w:tc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E11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the blind ζ reader: pins, validation, zero leaks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optics/nonlocality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E12–E14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interferometer; no-signaling; CHSH</w:t>
            </w:r>
          </w:p>
        </w:tc>
      </w:tr>
      <w:tr>
        <w:trPr>
          <w:cantSplit/>
        </w:trPr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classification</w:t>
            </w:r>
          </w:p>
        </w:tc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E15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topology ablation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engines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E16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the independent Riemann–Siegel: ≤ 3.8e−15</w:t>
            </w:r>
          </w:p>
        </w:tc>
      </w:tr>
      <w:tr>
        <w:trPr>
          <w:cantSplit/>
        </w:trPr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flagship</w:t>
            </w:r>
          </w:p>
        </w:tc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E17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blind zeros: 649/649 + 639/639; cross-engine 0.0; N(1000) = 649.0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benchmark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E18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class B: ×59,000; the 2q KAK outside the class (10 vs 3)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5" w:id="5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4. The O-J roadmap</w:t>
      </w:r>
      <w:bookmarkEnd w:id="5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O-J1 done: blind reading to T = 1000 (E16–E17);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O-J2 done: class B (E18);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O-J3: QEC memory — relies on E07 and V21;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O-J4: the digital twin of the processor;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O-J5: the integration campaign; target heights T well above 1000.</w:t>
      </w:r>
    </w:p>
    <w:p>
      <w:pPr>
        <w:pStyle w:val="Heading2"/>
        <w:spacing w:after="120" w:before="280" w:line="312"/>
      </w:pPr>
      <w:bookmarkStart w:name="_Toc6" w:id="6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5. Honest boundaries</w:t>
      </w:r>
      <w:bookmarkEnd w:id="6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E17 does not prove RH above T = 1000, the simplicity of all zeros, or the absence of off-line zeros for γ &gt; 1000. E18 claims no superiority outside the ISA class. The blind erratum γ₁₂ showed that an error can live in the framework rather than in the detector — therefore references are checked too.</w:t>
      </w:r>
    </w:p>
    <w:p>
      <w:pPr>
        <w:pStyle w:val="Heading2"/>
        <w:spacing w:after="120" w:before="280" w:line="312"/>
      </w:pPr>
      <w:bookmarkStart w:name="_Toc7" w:id="7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6. Key campaigns in detail</w:t>
      </w:r>
      <w:bookmarkEnd w:id="7"/>
    </w:p>
    <w:p>
      <w:pPr>
        <w:pStyle w:val="Heading2"/>
        <w:spacing w:after="120" w:before="280" w:line="312"/>
      </w:pPr>
      <w:bookmarkStart w:name="_Toc8" w:id="8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6.1. From infrastructure to flagships</w:t>
      </w:r>
      <w:bookmarkEnd w:id="8"/>
    </w:p>
    <w:p>
      <w:pPr>
        <w:pStyle w:val="Heading3"/>
        <w:spacing w:after="100" w:before="220" w:line="312"/>
      </w:pPr>
      <w:bookmarkStart w:id="100000" w:name="_Toc100000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E11 — the blind ζ reader</w:t>
      </w:r>
      <w:bookmarkEnd w:id="100000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The platform's first full blind protocol: a detector with no access to the reference, SHA256 pinning, validation after fixing. The campaign exercised the blindness mechanics on a live task — reading zeros of a lower height — and showed zero leaks. All subsequent blind protocols (E16, E17) inherit its scheme.</w:t>
      </w:r>
    </w:p>
    <w:p>
      <w:pPr>
        <w:pStyle w:val="Heading3"/>
        <w:spacing w:after="100" w:before="220" w:line="312"/>
      </w:pPr>
      <w:bookmarkStart w:id="100001" w:name="_Toc100001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E16 — the independent Riemann–Siegel</w:t>
      </w:r>
      <w:bookmarkEnd w:id="100001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An implementation of the Riemann–Siegel formula (the Arias de Reyna version) without external packages: the main sum plus the integral correction. Agreement with the reference ≤ 3.8e−15 against a threshold of 1e−9; the error floor is 1e−17. The meaning: the platform owns a second independent Z(t) engine, independent of the explicit method.</w:t>
      </w:r>
    </w:p>
    <w:p>
      <w:pPr>
        <w:pStyle w:val="Heading3"/>
        <w:spacing w:after="100" w:before="220" w:line="312"/>
      </w:pPr>
      <w:bookmarkStart w:id="100002" w:name="_Toc100002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E17 — blind zeros T=1000</w:t>
      </w:r>
      <w:bookmarkEnd w:id="100002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The platform flagship: two independent detectors read zeros up to T = 1000 with no access to the reference; 649/649 (EM) and 639/639 (RS), cross-engine 0.0 bit-exact, N(1000) = 649.0 exactly, grid-shift robustness 0. The blind γ₁₂ erratum is built in as a negative control: the detector refuted a hand-made framework constant. The verdict honestly states: RH above T = 1000 is not proved.</w:t>
      </w:r>
    </w:p>
    <w:p>
      <w:pPr>
        <w:pStyle w:val="Heading3"/>
        <w:spacing w:after="100" w:before="220" w:line="312"/>
      </w:pPr>
      <w:bookmarkStart w:id="100003" w:name="_Toc100003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E18 — class B</w:t>
      </w:r>
      <w:bookmarkEnd w:id="100003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The fair compiler benchmark: one ISA, one criterion, five strong baselines. The outcome: ×59,000 in time at equal accuracy; the 2q boundary 10 versus the KAK optimum 3 — outside the class, declared explicitly. The numpy replication: 0 counter mismatches. The E18 methodology becomes the standard for processor stage P5.</w:t>
      </w:r>
    </w:p>
    <w:p>
      <w:pPr>
        <w:pStyle w:val="Heading3"/>
        <w:spacing w:after="100" w:before="220" w:line="312"/>
      </w:pPr>
      <w:bookmarkStart w:id="100004" w:name="_Toc100004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E12–E14 — optics and nonlocality</w:t>
      </w:r>
      <w:bookmarkEnd w:id="100004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The interferometry and nonlocality block: the interferometer (E12), the absence of signaling (E13), CHSH (E14). These campaigns independently confirm the processor's V24 preview and give an independent estimate of the correlations of distributed clouds.</w:t>
      </w:r>
    </w:p>
    <w:p>
      <w:pPr>
        <w:pStyle w:val="Heading2"/>
        <w:spacing w:after="120" w:before="280" w:line="312"/>
      </w:pPr>
      <w:bookmarkStart w:name="_Toc9" w:id="9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7. How to reproduce</w:t>
      </w:r>
      <w:bookmarkEnd w:id="9"/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julia modules/verifier_multilang/experiments/run_all.jl all   # E01–E18 (~2.5 min)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julia modules/verifier_multilang/experiments/verdicts.jl      # verdict summary</w:t>
      </w:r>
    </w:p>
    <w:p>
      <w:pPr>
        <w:shd w:fill="FAF6F3" w:val="clear"/>
        <w:spacing w:after="14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# pins and results: modules/verifier_multilang/results/</w:t>
      </w:r>
    </w:p>
    <w:p>
      <w:pPr>
        <w:pStyle w:val="Heading2"/>
        <w:spacing w:after="120" w:before="280" w:line="312"/>
      </w:pPr>
      <w:bookmarkStart w:name="_Toc10" w:id="10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8. Pins and integrity</w:t>
      </w:r>
      <w:bookmarkEnd w:id="10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Every blind output is SHA256-pinned before validation: e17_detector_em.csv, e17_detector_rs.csv, e11_detector_output.csv, the reference e17_zetazero_reference.csv. The pin files sit next to the data; the package validator recomputes the hashes on every build. Changing a pin after validation is impossible without a trace in the history.</w:t>
      </w:r>
    </w:p>
    <w:p>
      <w:pPr>
        <w:pStyle w:val="Heading2"/>
        <w:spacing w:after="120" w:before="280" w:line="312"/>
      </w:pPr>
      <w:bookmarkStart w:name="_Toc11" w:id="11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9. Further reading</w:t>
      </w:r>
      <w:bookmarkEnd w:id="11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protocols: experiments/experiment_01_15.md;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master verdicts: results/verdicts_master.json;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cross-language validation: results/cross_language_validation.md;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provenance and limitations: PROVENANCE_AND_LIMITATIONS.md.</w:t>
      </w:r>
    </w:p>
    <w:sectPr>
      <w:footerReference w:type="default" r:id="rId7"/>
      <w:type w:val="nextPage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A807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A807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/>
        <w:color w:val="2B2320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hAnsi="Times New Roman"/>
      <w:b/>
      <w:bCs/>
      <w:color w:val="2B23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Times New Roman" w:hAnsi="Times New Roman"/>
      <w:b/>
      <w:bCs/>
      <w:color w:val="7A5C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Times New Roman" w:hAnsi="Times New Roman"/>
      <w:b/>
      <w:bCs/>
      <w:color w:val="2B2320"/>
      <w:sz w:val="23"/>
      <w:szCs w:val="23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Program: The Verification Platform (E01–E18, O-J)</dc:title>
  <dc:creator>AB Cloud Quantum Research</dc:creator>
  <dc:description>Research Program Monograph · Version 1.0.0</dc:description>
  <cp:lastModifiedBy>Un-named</cp:lastModifiedBy>
  <cp:revision>1</cp:revision>
  <dcterms:created xsi:type="dcterms:W3CDTF">2026-10-12T04:04:21.967Z</dcterms:created>
  <dcterms:modified xsi:type="dcterms:W3CDTF">2026-10-12T04:04:21.968Z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