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V08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V8. Self-Adjointness of the Limiting Model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Defect indices, the BC family and unitarity (theorem Th2)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V8. Self-Adjointness of the Limiting Model</w:t>
      </w:r>
    </w:p>
    <w:p>
      <w:r>
        <w:rPr>
          <w:color w:val="777E81"/>
          <w:sz w:val="19"/>
        </w:rPr>
        <w:t>Defect indices, the BC family and unitarity (theorem Th2)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V08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For an infinite-dimensional construction self-adjointness is the necessary condition of the whole Hilbert–Pólya approach: only a self-adjoint operator has a real, complete spectrum. The plan demands studying the defect spaces N± = ker(H* ∓ iI), stability under boundary changes, and honestly separating the finite-dimensional theorem from the limit conjecture.</w:t>
      </w:r>
    </w:p>
    <w:p>
      <w:pPr>
        <w:jc w:val="both"/>
      </w:pPr>
      <w:r>
        <w:t>The campaign fixes the provable part as theorem Th2 and performs the measurement part: the BC family (open/torus/four twists), unitarity of the evolution, and the lattice analogue of current conservation.</w:t>
      </w:r>
    </w:p>
    <w:p>
      <w:pPr>
        <w:pStyle w:val="Heading1"/>
      </w:pPr>
      <w:r>
        <w:rPr>
          <w:rFonts w:ascii="Arial" w:hAnsi="Arial"/>
          <w:color w:val="3B4F58"/>
        </w:rPr>
        <w:t>Theorem Th2</w:t>
      </w:r>
    </w:p>
    <w:p>
      <w:pPr>
        <w:spacing w:before="160"/>
      </w:pPr>
      <w:r>
        <w:rPr>
          <w:b/>
          <w:color w:val="C96F4A"/>
          <w:sz w:val="21"/>
        </w:rPr>
        <w:t>Theorem Th2 (finite-dimensional self-adjointness).</w:t>
      </w:r>
    </w:p>
    <w:p>
      <w:pPr>
        <w:jc w:val="both"/>
      </w:pPr>
      <w:r>
        <w:t>A symmetric operator on a finite-dimensional complex space ℂ^N is essentially self-adjoint: the defect indices are (0, 0); e^{−iHt} is unitary and Im⟨ψ, Hψ⟩ = 0 for all ψ.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On ℂ^N every everywhere-defined symmetric operator is bounded and H* = H. ker(H* − iI) = 0 since ‖(H − iI)ψ‖² = ‖Hψ‖² + ‖ψ‖² ≥ ‖ψ‖² (hermiticity); hence (0, 0) and essential self-adjointness by the defect-index criterion. Unitarity: ‖e^{−iHt}ψ‖² = ψ†e^{iH†t}e^{−iHt}ψ = ‖ψ‖². Im⟨ψ,Hψ⟩ = (⟨ψ,Hψ⟩−⟨Hψ,ψ⟩)/2i = 0. Numerically: σ_min(H ∓ iI) = 3.9, unitarity drift 2.2e-16, Im⟨ψ,Hψ⟩ = 0 exactly.</w:t>
      </w:r>
    </w:p>
    <w:p>
      <w:pPr>
        <w:pStyle w:val="Heading1"/>
      </w:pPr>
      <w:r>
        <w:rPr>
          <w:rFonts w:ascii="Arial" w:hAnsi="Arial"/>
          <w:color w:val="3B4F58"/>
        </w:rPr>
        <w:t>The measurement part</w:t>
      </w:r>
    </w:p>
    <w:p>
      <w:pPr>
        <w:jc w:val="both"/>
      </w:pPr>
      <w:r>
        <w:t>The BC family: spectrum shifts under open → torus and four twist changes at L = 24 are 0.21–0.27 in the common window — finite and not vanishing at finite L. This is the measured boundary: stability of eigenvalues under BC changes at finite L proves neither the existence of a limiting operator nor its BC-independence.</w:t>
      </w:r>
    </w:p>
    <w:p>
      <w:pPr>
        <w:jc w:val="both"/>
      </w:pPr>
      <w:r>
        <w:t>Essential self-adjointness of the limiting model remains an open obligation (O03 in the formal DAG of V13): it requires analytic domains, not numerical matrices. The package records this gap explicitly instead of masking it with computational precision.</w:t>
      </w:r>
    </w:p>
    <w:p>
      <w:pPr>
        <w:spacing w:before="160"/>
      </w:pPr>
      <w:r>
        <w:t>Table 1. Summary of V8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defect indices (L=12/16/24)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(0, 0) at σ_min = 3.9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Th2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unitarity e^{−iHt}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drift 2.2e-16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Th2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Im⟨ψ,Hψ⟩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 (exact)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Th2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BC change shift (L=24)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0.21–0.27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measured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limit L→∞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open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obligation O03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Honest remarks</w:t>
      </w:r>
    </w:p>
    <w:p>
      <w:pPr>
        <w:jc w:val="both"/>
      </w:pPr>
      <w:r>
        <w:t>The BC analysis also shows the use of the lattice model: boundary effects are localized and measurable, making the limit problem well-posed. But the road to the limiting operator goes through analytic theory (forms, restrictions, von Neumann extensions) — numerical stability does not replace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V8 data (600 dpi, file figures_hires).</w:t>
      </w:r>
    </w:p>
    <w:p>
      <w:pPr>
        <w:jc w:val="both"/>
      </w:pPr>
      <w:r>
        <w:t>Th2 is proved; the limit part is an open obligation with an explicit status. Finite-dimensional self-adjointness is the foundation of all spectral claims of the series.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