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Appendix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Приложение: методы, данные, воспроизводимость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Протоколы серии V1–V18: решётка, развёртка, статистики, следовой конвейер, сертификаты, пороги и машинные полы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Приложение: методы, данные, воспроизводимость</w:t>
      </w:r>
    </w:p>
    <w:p>
      <w:r>
        <w:rPr>
          <w:color w:val="777E81"/>
          <w:sz w:val="19"/>
        </w:rPr>
        <w:t>Протоколы серии V1–V18: решётка, развёртка, статистики, следовой конвейер, сертификаты, пороги и машинные полы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Appendix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A.1 Решётка и затворы</w:t>
      </w:r>
    </w:p>
    <w:p>
      <w:pPr>
        <w:jc w:val="both"/>
      </w:pPr>
      <w:r>
        <w:t>Гамильтониан AB-cloud: эрмитова решётка хофштадтеровского типа L×L с полфлакса (α = ½ — самодуальная линия дискретизации безмассового уравнения Дирака), вихревыми фазами θ_k = atan2 и on-site беспорядком W. Протокол вихрей: центры ячеек (ix+0.5, iy+0.5), независимый сэмплинг, нейтральные заряды. Мастер-сид серии 96; vortex-RNG — seed + 3500, беспорядок — seed + 3501. Полное пространство ручек (V16): знаки зарядов, профиль вихря (site/midpoint), анизотропия t_x/t_y, стэггерд-масса, твисты (φx, φy), сдвиг флакса δα — факторный план 96 конфигураций.</w:t>
      </w:r>
    </w:p>
    <w:p>
      <w:pPr>
        <w:jc w:val="both"/>
      </w:pPr>
      <w:r>
        <w:t>Спектральный конвейер: eigvalsh (driver evr) → центральная полоса 60% (fld-арифметика) → полиномиальная развёртка (степени 6→3, фолбэк кусочно-линейный) → окно 200 уровней. Бит-в-бит воспроизведение протокола C3 эталона: 1.45e-16.</w:t>
      </w:r>
    </w:p>
    <w:p>
      <w:pPr>
        <w:pStyle w:val="Heading1"/>
      </w:pPr>
      <w:r>
        <w:rPr>
          <w:rFonts w:ascii="Arial" w:hAnsi="Arial"/>
          <w:color w:val="3B4F58"/>
        </w:rPr>
        <w:t>A.2 Статистики и эталоны</w:t>
      </w:r>
    </w:p>
    <w:p>
      <w:pPr>
        <w:jc w:val="both"/>
      </w:pPr>
      <w:r>
        <w:t>Вектор S = (⟨r⟩, Σ²(L), Δ₃(L), K(t), D_KS) предрегистрирован. GUE-эталон для D_KS — эмпирический (ансамбль 16 матриц 576×576, объединённая выборка 3168 значений {r_n}); эталонные лестницы: Пуассон 2ln2−1 ≈ 0.386, GOE ≈ 0.531, GUE ≈ 0.600. Нули ζ — файл Одлыжко 50 000 высот (SHA-256 в data/README.md); гладкий счёт N̄(γ) = γ/2π·ln(γ/2πe) + 5/8. Алгебраическая функция критической прямой (V16): Z_id(t) = e^{iθ(t)}ζ(½+it), θ(t) = Im ln Γ(¼+it/2) − t·ln√π; Γ-замыкания — |Γ(½+iu)|² = π/cosh πu, |Γ(iu)|² = π/(u·sinh πu), произведение Лежандра |Γ(¼+iu)|·|Γ(¾+iu)| — невязки ~1.3e-39 при dps 40.</w:t>
      </w:r>
    </w:p>
    <w:p>
      <w:pPr>
        <w:jc w:val="both"/>
      </w:pPr>
      <w:r>
        <w:t>Следовой конвейер: Q(a) — сплайн mpmath-сетки [0, 1.5] (601 узел, полюс a = ½ сдвинут); простая часть — решето Λ(n) до 2·10⁶ (кэшируется), хвост ≤ 1e-6; гладкая часть — точные Si/Ci-формы; PC0 — рецепт u·Σ e^{−u·N̄(γ)} − (1−e^{−uX}), U ∈ [0.05, 1.0], 40 точек.</w:t>
      </w:r>
    </w:p>
    <w:p>
      <w:pPr>
        <w:pStyle w:val="Heading1"/>
      </w:pPr>
      <w:r>
        <w:rPr>
          <w:rFonts w:ascii="Arial" w:hAnsi="Arial"/>
          <w:color w:val="3B4F58"/>
        </w:rPr>
        <w:t>A.3 Сертификаты и пороги</w:t>
      </w:r>
    </w:p>
    <w:p>
      <w:pPr>
        <w:jc w:val="both"/>
      </w:pPr>
      <w:r>
        <w:t>Интервальный слой: Гершгорин в fractions (limit_denominator 1e12), невязки в mpmath dps = 40, зазор — точный. Слой лицензий данных: файл нулей — единственные внешние данные; все вердикты закоммичены и не зависят от свежих пересчётов.</w:t>
      </w:r>
    </w:p>
    <w:p>
      <w:pPr>
        <w:jc w:val="both"/>
      </w:pPr>
      <w:r>
        <w:t>Таблица порогов серии (порог → факт): эрмитовость 1e-12 → 0.0; невязки 1e-11 → 8.8e-15; M0 1e-6 → 4.6e-8; M1 5e-5 → 6.9e-6; PC0 0.99 → 0.9996; Th4 1e-9 → 4.4e-11; редукция 1e-9 → 7.1e-15; унитарность 1e-12 → 2.2e-16; слепой z &gt; 3 → 0.09; ворота V18 1e-9 → 2e-16; зацепление V18 &gt; 0.5 → 0.984; энергия V17 1e-12 → 1.8e-15.</w:t>
      </w:r>
    </w:p>
    <w:p>
      <w:pPr>
        <w:pStyle w:val="Heading1"/>
      </w:pPr>
      <w:r>
        <w:rPr>
          <w:rFonts w:ascii="Arial" w:hAnsi="Arial"/>
          <w:color w:val="3B4F58"/>
        </w:rPr>
        <w:t>A.4 Воспроизводимость</w:t>
      </w:r>
    </w:p>
    <w:p>
      <w:pPr>
        <w:jc w:val="both"/>
      </w:pPr>
      <w:r>
        <w:t>Самосборка: make tour (экскурсия по вердиктам), make test (pytest), make ivp (независимая верификация), make figures / monographs / workbook (перегенерация артефактов), make all. Свежий полный пересчёт V1–V18 — python3 scripts/compute_all.py и python3 scripts/compute_v161718.py (~10 минут суммарно, файл нулей входит в пакет). Веб-лаборатория — web_lab/index.html, самодостаточный файл без внешних зависимостей, включая играбельную AB-Pong.</w:t>
      </w:r>
    </w:p>
    <w:p>
      <w:pPr>
        <w:jc w:val="both"/>
      </w:pPr>
      <w:r>
        <w:t>Каждая кампания детерминирована: фиксированные seeds, кэшированные решета, зафиксированные сетки. Расхождение свежего прогона с закоммиченными вердиктами — релиз-стоппер (тест test_repro).</w:t>
      </w:r>
    </w:p>
    <w:p>
      <w:pPr>
        <w:jc w:val="both"/>
      </w:pPr>
      <w:r>
        <w:t>Приложение фиксирует все протокольные решения, необходимые для независимого воспроизведения серии V1–V18.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