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Borders>
              <w:top w:val="none" w:color="FFFFFF" w:sz="0"/>
              <w:left w:val="none" w:color="FFFFFF" w:sz="0"/>
              <w:bottom w:val="none" w:color="FFFFFF" w:sz="0"/>
              <w:right w:val="none" w:color="FFFFFF" w:sz="0"/>
            </w:tcBorders>
            <w:shd w:fill="221B16" w:val="clear"/>
            <w:vAlign w:val="top"/>
          </w:tcPr>
          <w:p>
            <w:pPr>
              <w:spacing w:before="4109"/>
            </w:pPr>
          </w:p>
          <w:p>
            <w:pPr>
              <w:pBdr>
                <w:bottom w:val="single" w:color="C96F4A" w:sz="6" w:space="8"/>
              </w:pBdr>
              <w:spacing w:after="500"/>
              <w:ind w:left="1200" w:right="800"/>
            </w:pPr>
            <w:r>
              <w:rPr>
                <w:rFonts w:ascii="Calibri" w:hAnsi="Calibri"/>
                <w:color w:val="C96F4A"/>
                <w:sz w:val="18"/>
                <w:szCs w:val="18"/>
              </w:rPr>
              <w:t xml:space="preserve">M  A  I  N     M  O  N  O  G  R  A  P  H     ·     I  S  A  E  V     I  S  K  H  A  K     K  H  A  M  Z  A  T  O  V  I  C  H</w:t>
            </w:r>
          </w:p>
          <w:p>
            <w:pPr>
              <w:spacing w:after="100" w:line="644" w:lineRule="atLeast"/>
              <w:ind w:left="1200"/>
            </w:pPr>
            <w:r>
              <w:rPr>
                <w:rFonts w:ascii="Times New Roman" w:hAnsi="Times New Roman"/>
                <w:b/>
                <w:bCs/>
                <w:color w:val="FFFFFF"/>
                <w:sz w:val="56"/>
                <w:szCs w:val="56"/>
              </w:rPr>
              <w:t xml:space="preserve">AB Cloud Quantum Research: The</w:t>
            </w:r>
          </w:p>
          <w:p>
            <w:pPr>
              <w:spacing w:after="100" w:line="644" w:lineRule="atLeast"/>
              <w:ind w:left="1200"/>
            </w:pPr>
            <w:r>
              <w:rPr>
                <w:rFonts w:ascii="Times New Roman" w:hAnsi="Times New Roman"/>
                <w:b/>
                <w:bCs/>
                <w:color w:val="FFFFFF"/>
                <w:sz w:val="56"/>
                <w:szCs w:val="56"/>
              </w:rPr>
              <w:t xml:space="preserve">Architecture That Reads</w:t>
            </w:r>
          </w:p>
          <w:p>
            <w:pPr>
              <w:spacing w:after="300" w:line="644" w:lineRule="atLeast"/>
              <w:ind w:left="1200"/>
            </w:pPr>
            <w:r>
              <w:rPr>
                <w:rFonts w:ascii="Times New Roman" w:hAnsi="Times New Roman"/>
                <w:b/>
                <w:bCs/>
                <w:color w:val="FFFFFF"/>
                <w:sz w:val="56"/>
                <w:szCs w:val="56"/>
              </w:rPr>
              <w:t xml:space="preserve">Mathematics and Stores Nothing</w:t>
            </w:r>
          </w:p>
          <w:p>
            <w:pPr>
              <w:spacing w:after="800"/>
              <w:ind w:left="1200"/>
            </w:pPr>
            <w:r>
              <w:rPr>
                <w:rFonts w:ascii="Times New Roman" w:hAnsi="Times New Roman"/>
                <w:color w:val="B8A99C"/>
                <w:sz w:val="24"/>
                <w:szCs w:val="24"/>
              </w:rPr>
              <w:t xml:space="preserve">The Main Monograph of the Program · Version 1.0.0</w:t>
            </w:r>
          </w:p>
          <w:p>
            <w:pPr>
              <w:pBdr>
                <w:left w:val="single" w:color="C96F4A" w:sz="8" w:space="12"/>
              </w:pBdr>
              <w:spacing w:after="80"/>
              <w:ind w:left="1400"/>
            </w:pPr>
            <w:r>
              <w:rPr>
                <w:rFonts w:ascii="Times New Roman" w:hAnsi="Times New Roman"/>
                <w:color w:val="D8CCC2"/>
                <w:sz w:val="24"/>
                <w:szCs w:val="24"/>
              </w:rPr>
              <w:t xml:space="preserve">Isaev Iskhak Khamzatovich · ORCID 0009-0003-7299-0701</w:t>
            </w:r>
          </w:p>
          <w:p>
            <w:pPr>
              <w:pBdr>
                <w:left w:val="single" w:color="C96F4A" w:sz="8" w:space="12"/>
              </w:pBdr>
              <w:spacing w:after="80"/>
              <w:ind w:left="1400"/>
            </w:pPr>
            <w:r>
              <w:rPr>
                <w:rFonts w:ascii="Times New Roman" w:hAnsi="Times New Roman"/>
                <w:color w:val="D8CCC2"/>
                <w:sz w:val="24"/>
                <w:szCs w:val="24"/>
              </w:rPr>
              <w:t xml:space="preserve">AB Cloud Quantum Research · DOI 10.5281/zenodo.21825394</w:t>
            </w:r>
          </w:p>
          <w:p>
            <w:pPr>
              <w:pBdr>
                <w:left w:val="single" w:color="C96F4A" w:sz="8" w:space="12"/>
              </w:pBdr>
              <w:spacing w:after="80"/>
              <w:ind w:left="1400"/>
            </w:pPr>
            <w:r>
              <w:rPr>
                <w:rFonts w:ascii="Times New Roman" w:hAnsi="Times New Roman"/>
                <w:color w:val="D8CCC2"/>
                <w:sz w:val="24"/>
                <w:szCs w:val="24"/>
              </w:rPr>
              <w:t xml:space="preserve">Style: Critical Line &amp; Copper</w:t>
            </w:r>
          </w:p>
          <w:p>
            <w:pPr>
              <w:spacing w:before="4109"/>
            </w:pPr>
          </w:p>
          <w:p>
            <w:pPr>
              <w:pBdr>
                <w:top w:val="single" w:color="C96F4A" w:sz="2" w:space="8"/>
              </w:pBdr>
              <w:tabs>
                <w:tab w:val="right" w:pos="9026"/>
              </w:tabs>
              <w:spacing w:before="200"/>
              <w:ind w:left="1200" w:right="800"/>
            </w:pPr>
            <w:r>
              <w:rPr>
                <w:rFonts w:ascii="Times New Roman" w:hAnsi="Times New Roman"/>
                <w:color w:val="8A7A6E"/>
                <w:sz w:val="16"/>
                <w:szCs w:val="16"/>
              </w:rPr>
              <w:t xml:space="preserve">AB CLOUD QUANTUM RESEARCH · v1.0.0</w:t>
            </w:r>
            <w:r>
              <w:t xml:space="preserve">	</w:t>
            </w:r>
            <w:r>
              <w:rPr>
                <w:rFonts w:ascii="Times New Roman" w:hAnsi="Times New Roman"/>
                <w:color w:val="8A7A6E"/>
                <w:sz w:val="16"/>
                <w:szCs w:val="16"/>
              </w:rPr>
              <w:t xml:space="preserve">2026 · PROPRIETARY</w:t>
            </w:r>
          </w:p>
        </w:tc>
      </w:tr>
    </w:tbl>
    <w:p>
      <w:pPr>
        <w:sectPr>
          <w:pgSz w:w="11906" w:h="16838" w:orient="portrait"/>
          <w:pgMar w:top="0" w:right="0" w:bottom="0" w:left="0" w:header="708" w:footer="708" w:gutter="0"/>
          <w:docGrid w:linePitch="360"/>
        </w:sectPr>
      </w:pPr>
    </w:p>
    <w:p>
      <w:pPr>
        <w:spacing w:after="360" w:before="480"/>
        <w:jc w:val="center"/>
      </w:pPr>
      <w:r>
        <w:rPr>
          <w:rFonts w:ascii="Times New Roman" w:hAnsi="Times New Roman"/>
          <w:b/>
          <w:bCs/>
          <w:color w:val="2B2320"/>
          <w:sz w:val="32"/>
          <w:szCs w:val="32"/>
        </w:rPr>
        <w:t xml:space="preserve">Table of Contents</w:t>
      </w:r>
    </w:p>
    <w:sdt>
      <w:sdtPr>
        <w:alias w:val="Table of Contents"/>
      </w:sdtPr>
      <w:sdtContent>
        <w:p>
          <w:pPr>
            <w:pStyle w:val="TOC1"/>
            <w:tabs>
              <w:tab w:val="right" w:pos="9026" w:leader="dot"/>
            </w:tabs>
          </w:pPr>
          <w:r>
            <w:fldChar w:fldCharType="begin" w:dirty="true"/>
          </w:r>
          <w:r>
            <w:instrText xml:space="preserve">TOC \h \o "1-2"</w:instrText>
          </w:r>
          <w:r>
            <w:fldChar w:fldCharType="separate"/>
          </w:r>
          <w:hyperlink w:history="1" w:anchor="_Toc1">
            <w:r>
              <w:t xml:space="preserve">Chapter 1. Introduction: One Idea, One Machine</w:t>
            </w:r>
            <w:r>
              <w:tab/>
            </w:r>
            <w:r>
              <w:fldChar w:fldCharType="begin" w:dirty="true"/>
              <w:instrText xml:space="preserve">PAGEREF _Toc1 \h</w:instrText>
              <w:fldChar w:fldCharType="separate"/>
              <w:fldChar w:fldCharType="end"/>
            </w:r>
          </w:hyperlink>
        </w:p>
        <w:p>
          <w:pPr>
            <w:pStyle w:val="9"/>
            <w:tabs>
              <w:tab w:val="right" w:leader="dot" w:pos="9026"/>
            </w:tabs>
            <w:spacing w:before="120" w:after="60"/>
          </w:pPr>
          <w:r>
            <w:t>Chapter 1. Introduction: One Idea, One Machine</w:t>
          </w:r>
          <w:r>
            <w:tab/>
          </w:r>
          <w:r>
            <w:t>1</w:t>
          </w:r>
        </w:p>
        <w:p>
          <w:pPr>
            <w:pStyle w:val="11"/>
            <w:ind w:left="360"/>
            <w:tabs>
              <w:tab w:val="right" w:leader="dot" w:pos="9026"/>
            </w:tabs>
            <w:spacing w:before="120" w:after="60"/>
          </w:pPr>
          <w:r>
            <w:t>1.1. What is inside the program</w:t>
          </w:r>
          <w:r>
            <w:tab/>
          </w:r>
          <w:r>
            <w:t>2</w:t>
          </w:r>
        </w:p>
        <w:p>
          <w:pPr>
            <w:pStyle w:val="11"/>
            <w:ind w:left="360"/>
            <w:tabs>
              <w:tab w:val="right" w:leader="dot" w:pos="9026"/>
            </w:tabs>
            <w:spacing w:before="120" w:after="60"/>
          </w:pPr>
          <w:r>
            <w:t>1.2. The honest boundary: what is not proved</w:t>
          </w:r>
          <w:r>
            <w:tab/>
          </w:r>
          <w:r>
            <w:t>3</w:t>
          </w:r>
        </w:p>
        <w:p>
          <w:pPr>
            <w:pStyle w:val="11"/>
            <w:ind w:left="360"/>
            <w:tabs>
              <w:tab w:val="right" w:leader="dot" w:pos="9026"/>
            </w:tabs>
            <w:spacing w:before="120" w:after="60"/>
          </w:pPr>
          <w:r>
            <w:t>1.3. How to read this monograph</w:t>
          </w:r>
          <w:r>
            <w:tab/>
          </w:r>
          <w:r>
            <w:t>3</w:t>
          </w:r>
        </w:p>
        <w:p>
          <w:pPr>
            <w:pStyle w:val="9"/>
            <w:tabs>
              <w:tab w:val="right" w:leader="dot" w:pos="9026"/>
            </w:tabs>
            <w:spacing w:before="120" w:after="60"/>
          </w:pPr>
          <w:r>
            <w:t>Chapter 2. The Honesty Discipline</w:t>
          </w:r>
          <w:r>
            <w:tab/>
          </w:r>
          <w:r>
            <w:t>4</w:t>
          </w:r>
        </w:p>
        <w:p>
          <w:pPr>
            <w:pStyle w:val="11"/>
            <w:ind w:left="360"/>
            <w:tabs>
              <w:tab w:val="right" w:leader="dot" w:pos="9026"/>
            </w:tabs>
            <w:spacing w:before="120" w:after="60"/>
          </w:pPr>
          <w:r>
            <w:t>2.1. Pre-registered thresholds</w:t>
          </w:r>
          <w:r>
            <w:tab/>
          </w:r>
          <w:r>
            <w:t>4</w:t>
          </w:r>
        </w:p>
        <w:p>
          <w:pPr>
            <w:pStyle w:val="11"/>
            <w:ind w:left="360"/>
            <w:tabs>
              <w:tab w:val="right" w:leader="dot" w:pos="9026"/>
            </w:tabs>
            <w:spacing w:before="120" w:after="60"/>
          </w:pPr>
          <w:r>
            <w:t>2.2. Blind protocols and SHA256 pins</w:t>
          </w:r>
          <w:r>
            <w:tab/>
          </w:r>
          <w:r>
            <w:t>4</w:t>
          </w:r>
        </w:p>
        <w:p>
          <w:pPr>
            <w:pStyle w:val="11"/>
            <w:ind w:left="360"/>
            <w:tabs>
              <w:tab w:val="right" w:leader="dot" w:pos="9026"/>
            </w:tabs>
            <w:spacing w:before="120" w:after="60"/>
          </w:pPr>
          <w:r>
            <w:t>2.3. Cross-language replication</w:t>
          </w:r>
          <w:r>
            <w:tab/>
          </w:r>
          <w:r>
            <w:t>5</w:t>
          </w:r>
        </w:p>
        <w:p>
          <w:pPr>
            <w:pStyle w:val="11"/>
            <w:ind w:left="360"/>
            <w:tabs>
              <w:tab w:val="right" w:leader="dot" w:pos="9026"/>
            </w:tabs>
            <w:spacing w:before="120" w:after="60"/>
          </w:pPr>
          <w:r>
            <w:t>2.4. Negative results and errata</w:t>
          </w:r>
          <w:r>
            <w:tab/>
          </w:r>
          <w:r>
            <w:t>5</w:t>
          </w:r>
        </w:p>
        <w:p>
          <w:pPr>
            <w:pStyle w:val="11"/>
            <w:ind w:left="360"/>
            <w:tabs>
              <w:tab w:val="right" w:leader="dot" w:pos="9026"/>
            </w:tabs>
            <w:spacing w:before="120" w:after="60"/>
          </w:pPr>
          <w:r>
            <w:t>2.5. Package integrity</w:t>
          </w:r>
          <w:r>
            <w:tab/>
          </w:r>
          <w:r>
            <w:t>6</w:t>
          </w:r>
        </w:p>
        <w:p>
          <w:pPr>
            <w:pStyle w:val="9"/>
            <w:tabs>
              <w:tab w:val="right" w:leader="dot" w:pos="9026"/>
            </w:tabs>
            <w:spacing w:before="120" w:after="60"/>
          </w:pPr>
          <w:r>
            <w:t>Chapter 3. Architecture: Levels of One Machine</w:t>
          </w:r>
          <w:r>
            <w:tab/>
          </w:r>
          <w:r>
            <w:t>7</w:t>
          </w:r>
        </w:p>
        <w:p>
          <w:pPr>
            <w:pStyle w:val="11"/>
            <w:ind w:left="360"/>
            <w:tabs>
              <w:tab w:val="right" w:leader="dot" w:pos="9026"/>
            </w:tabs>
            <w:spacing w:before="120" w:after="60"/>
          </w:pPr>
          <w:r>
            <w:t>3.1. The level map</w:t>
          </w:r>
          <w:r>
            <w:tab/>
          </w:r>
          <w:r>
            <w:t>7</w:t>
          </w:r>
        </w:p>
        <w:p>
          <w:pPr>
            <w:pStyle w:val="11"/>
            <w:ind w:left="360"/>
            <w:tabs>
              <w:tab w:val="right" w:leader="dot" w:pos="9026"/>
            </w:tabs>
            <w:spacing w:before="120" w:after="60"/>
          </w:pPr>
          <w:r>
            <w:t>3.2. Numerical links between levels</w:t>
          </w:r>
          <w:r>
            <w:tab/>
          </w:r>
          <w:r>
            <w:t>7</w:t>
          </w:r>
        </w:p>
        <w:p>
          <w:pPr>
            <w:pStyle w:val="11"/>
            <w:ind w:left="360"/>
            <w:tabs>
              <w:tab w:val="right" w:leader="dot" w:pos="9026"/>
            </w:tabs>
            <w:spacing w:before="120" w:after="60"/>
          </w:pPr>
          <w:r>
            <w:t>3.3. Data flow</w:t>
          </w:r>
          <w:r>
            <w:tab/>
          </w:r>
          <w:r>
            <w:t>9</w:t>
          </w:r>
        </w:p>
        <w:p>
          <w:pPr>
            <w:pStyle w:val="9"/>
            <w:tabs>
              <w:tab w:val="right" w:leader="dot" w:pos="9026"/>
            </w:tabs>
            <w:spacing w:before="120" w:after="60"/>
          </w:pPr>
          <w:r>
            <w:t>Chapter 4. The Spectral Core: Blind Spectrum and Null Models</w:t>
          </w:r>
          <w:r>
            <w:tab/>
          </w:r>
          <w:r>
            <w:t>9</w:t>
          </w:r>
        </w:p>
        <w:p>
          <w:pPr>
            <w:pStyle w:val="11"/>
            <w:ind w:left="360"/>
            <w:tabs>
              <w:tab w:val="right" w:leader="dot" w:pos="9026"/>
            </w:tabs>
            <w:spacing w:before="120" w:after="60"/>
          </w:pPr>
          <w:r>
            <w:t>4.1. Campaign V01: the blind spectrum</w:t>
          </w:r>
          <w:r>
            <w:tab/>
          </w:r>
          <w:r>
            <w:t>9</w:t>
          </w:r>
        </w:p>
        <w:p>
          <w:pPr>
            <w:pStyle w:val="11"/>
            <w:ind w:left="360"/>
            <w:tabs>
              <w:tab w:val="right" w:leader="dot" w:pos="9026"/>
            </w:tabs>
            <w:spacing w:before="120" w:after="60"/>
          </w:pPr>
          <w:r>
            <w:t>4.2. Campaign V02: null models and the GUE class</w:t>
          </w:r>
          <w:r>
            <w:tab/>
          </w:r>
          <w:r>
            <w:t>10</w:t>
          </w:r>
        </w:p>
        <w:p>
          <w:pPr>
            <w:pStyle w:val="11"/>
            <w:ind w:left="360"/>
            <w:tabs>
              <w:tab w:val="right" w:leader="dot" w:pos="9026"/>
            </w:tabs>
            <w:spacing w:before="120" w:after="60"/>
          </w:pPr>
          <w:r>
            <w:t>4.3. Campaigns V03–V06: lattices and the honest negative</w:t>
          </w:r>
          <w:r>
            <w:tab/>
          </w:r>
          <w:r>
            <w:t>10</w:t>
          </w:r>
        </w:p>
        <w:p>
          <w:pPr>
            <w:pStyle w:val="9"/>
            <w:tabs>
              <w:tab w:val="right" w:leader="dot" w:pos="9026"/>
            </w:tabs>
            <w:spacing w:before="120" w:after="60"/>
          </w:pPr>
          <w:r>
            <w:t>Chapter 5. The Critical Line and the Trace Formula</w:t>
          </w:r>
          <w:r>
            <w:tab/>
          </w:r>
          <w:r>
            <w:t>10</w:t>
          </w:r>
        </w:p>
        <w:p>
          <w:pPr>
            <w:pStyle w:val="11"/>
            <w:ind w:left="360"/>
            <w:tabs>
              <w:tab w:val="right" w:leader="dot" w:pos="9026"/>
            </w:tabs>
            <w:spacing w:before="120" w:after="60"/>
          </w:pPr>
          <w:r>
            <w:t>5.1. Campaign V7 and Theorem Th6: trace ↔ primes</w:t>
          </w:r>
          <w:r>
            <w:tab/>
          </w:r>
          <w:r>
            <w:t>11</w:t>
          </w:r>
        </w:p>
        <w:p>
          <w:pPr>
            <w:pStyle w:val="11"/>
            <w:ind w:left="360"/>
            <w:tabs>
              <w:tab w:val="right" w:leader="dot" w:pos="9026"/>
            </w:tabs>
            <w:spacing w:before="120" w:after="60"/>
          </w:pPr>
          <w:r>
            <w:t>5.2. Symmetry and the critical line (Th1, Th2)</w:t>
          </w:r>
          <w:r>
            <w:tab/>
          </w:r>
          <w:r>
            <w:t>11</w:t>
          </w:r>
        </w:p>
        <w:p>
          <w:pPr>
            <w:pStyle w:val="11"/>
            <w:ind w:left="360"/>
            <w:tabs>
              <w:tab w:val="right" w:leader="dot" w:pos="9026"/>
            </w:tabs>
            <w:spacing w:before="120" w:after="60"/>
          </w:pPr>
          <w:r>
            <w:t>5.3. Accuracy: Kato certificates (Th3) and the Li formula (Th4)</w:t>
          </w:r>
          <w:r>
            <w:tab/>
          </w:r>
          <w:r>
            <w:t>11</w:t>
          </w:r>
        </w:p>
        <w:p>
          <w:pPr>
            <w:pStyle w:val="11"/>
            <w:ind w:left="360"/>
            <w:tabs>
              <w:tab w:val="right" w:leader="dot" w:pos="9026"/>
            </w:tabs>
            <w:spacing w:before="120" w:after="60"/>
          </w:pPr>
          <w:r>
            <w:t>5.4. Block reduction (Th5) and its boundary</w:t>
          </w:r>
          <w:r>
            <w:tab/>
          </w:r>
          <w:r>
            <w:t>12</w:t>
          </w:r>
        </w:p>
        <w:p>
          <w:pPr>
            <w:pStyle w:val="9"/>
            <w:tabs>
              <w:tab w:val="right" w:leader="dot" w:pos="9026"/>
            </w:tabs>
            <w:spacing w:before="120" w:after="60"/>
          </w:pPr>
          <w:r>
            <w:t>Chapter 6. The Obligation Machine V13</w:t>
          </w:r>
          <w:r>
            <w:tab/>
          </w:r>
          <w:r>
            <w:t>12</w:t>
          </w:r>
        </w:p>
        <w:p>
          <w:pPr>
            <w:pStyle w:val="11"/>
            <w:ind w:left="360"/>
            <w:tabs>
              <w:tab w:val="right" w:leader="dot" w:pos="9026"/>
            </w:tabs>
            <w:spacing w:before="120" w:after="60"/>
          </w:pPr>
          <w:r>
            <w:t>6.1. Why an obligation machine</w:t>
          </w:r>
          <w:r>
            <w:tab/>
          </w:r>
          <w:r>
            <w:t>12</w:t>
          </w:r>
        </w:p>
        <w:p>
          <w:pPr>
            <w:pStyle w:val="11"/>
            <w:ind w:left="360"/>
            <w:tabs>
              <w:tab w:val="right" w:leader="dot" w:pos="9026"/>
            </w:tabs>
            <w:spacing w:before="120" w:after="60"/>
          </w:pPr>
          <w:r>
            <w:t>6.2. Obligations as a contract with the reader</w:t>
          </w:r>
          <w:r>
            <w:tab/>
          </w:r>
          <w:r>
            <w:t>13</w:t>
          </w:r>
        </w:p>
        <w:p>
          <w:pPr>
            <w:pStyle w:val="9"/>
            <w:tabs>
              <w:tab w:val="right" w:leader="dot" w:pos="9026"/>
            </w:tabs>
            <w:spacing w:before="120" w:after="60"/>
          </w:pPr>
          <w:r>
            <w:t>Chapter 7. Theorems Th1–Th6: Statements, Certificates, Reductions</w:t>
          </w:r>
          <w:r>
            <w:tab/>
          </w:r>
          <w:r>
            <w:t>13</w:t>
          </w:r>
        </w:p>
        <w:p>
          <w:pPr>
            <w:pStyle w:val="11"/>
            <w:ind w:left="360"/>
            <w:tabs>
              <w:tab w:val="right" w:leader="dot" w:pos="9026"/>
            </w:tabs>
            <w:spacing w:before="120" w:after="60"/>
          </w:pPr>
          <w:r>
            <w:t>7.1. Summary table</w:t>
          </w:r>
          <w:r>
            <w:tab/>
          </w:r>
          <w:r>
            <w:t>13</w:t>
          </w:r>
        </w:p>
        <w:p>
          <w:pPr>
            <w:pStyle w:val="11"/>
            <w:ind w:left="360"/>
            <w:tabs>
              <w:tab w:val="right" w:leader="dot" w:pos="9026"/>
            </w:tabs>
            <w:spacing w:before="120" w:after="60"/>
          </w:pPr>
          <w:r>
            <w:t>7.2. How to read the certificates</w:t>
          </w:r>
          <w:r>
            <w:tab/>
          </w:r>
          <w:r>
            <w:t>14</w:t>
          </w:r>
        </w:p>
        <w:p>
          <w:pPr>
            <w:pStyle w:val="11"/>
            <w:ind w:left="360"/>
            <w:tabs>
              <w:tab w:val="right" w:leader="dot" w:pos="9026"/>
            </w:tabs>
            <w:spacing w:before="120" w:after="60"/>
          </w:pPr>
          <w:r>
            <w:t>7.3. Documents and reproducibility</w:t>
          </w:r>
          <w:r>
            <w:tab/>
          </w:r>
          <w:r>
            <w:t>14</w:t>
          </w:r>
        </w:p>
        <w:p>
          <w:pPr>
            <w:pStyle w:val="9"/>
            <w:tabs>
              <w:tab w:val="right" w:leader="dot" w:pos="9026"/>
            </w:tabs>
            <w:spacing w:before="120" w:after="60"/>
          </w:pPr>
          <w:r>
            <w:t>Chapter 8. Behavioural Campaigns V16–V19</w:t>
          </w:r>
          <w:r>
            <w:tab/>
          </w:r>
          <w:r>
            <w:t>15</w:t>
          </w:r>
        </w:p>
        <w:p>
          <w:pPr>
            <w:pStyle w:val="11"/>
            <w:ind w:left="360"/>
            <w:tabs>
              <w:tab w:val="right" w:leader="dot" w:pos="9026"/>
            </w:tabs>
            <w:spacing w:before="120" w:after="60"/>
          </w:pPr>
          <w:r>
            <w:t>8.1. V16: the last lattice verdict</w:t>
          </w:r>
          <w:r>
            <w:tab/>
          </w:r>
          <w:r>
            <w:t>15</w:t>
          </w:r>
        </w:p>
        <w:p>
          <w:pPr>
            <w:pStyle w:val="11"/>
            <w:ind w:left="360"/>
            <w:tabs>
              <w:tab w:val="right" w:leader="dot" w:pos="9026"/>
            </w:tabs>
            <w:spacing w:before="120" w:after="60"/>
          </w:pPr>
          <w:r>
            <w:t>8.2. V17–V18: behaviour under load</w:t>
          </w:r>
          <w:r>
            <w:tab/>
          </w:r>
          <w:r>
            <w:t>15</w:t>
          </w:r>
        </w:p>
        <w:p>
          <w:pPr>
            <w:pStyle w:val="11"/>
            <w:ind w:left="360"/>
            <w:tabs>
              <w:tab w:val="right" w:leader="dot" w:pos="9026"/>
            </w:tabs>
            <w:spacing w:before="120" w:after="60"/>
          </w:pPr>
          <w:r>
            <w:t>8.3. V19: branch stitching and monodromy</w:t>
          </w:r>
          <w:r>
            <w:tab/>
          </w:r>
          <w:r>
            <w:t>15</w:t>
          </w:r>
        </w:p>
        <w:p>
          <w:pPr>
            <w:pStyle w:val="9"/>
            <w:tabs>
              <w:tab w:val="right" w:leader="dot" w:pos="9026"/>
            </w:tabs>
            <w:spacing w:before="120" w:after="60"/>
          </w:pPr>
          <w:r>
            <w:t>Chapter 9. The AB Processor: ISA and Exact Compilation V20</w:t>
          </w:r>
          <w:r>
            <w:tab/>
          </w:r>
          <w:r>
            <w:t>16</w:t>
          </w:r>
        </w:p>
        <w:p>
          <w:pPr>
            <w:pStyle w:val="11"/>
            <w:ind w:left="360"/>
            <w:tabs>
              <w:tab w:val="right" w:leader="dot" w:pos="9026"/>
            </w:tabs>
            <w:spacing w:before="120" w:after="60"/>
          </w:pPr>
          <w:r>
            <w:t>9.1. The AB-cloud ISA</w:t>
          </w:r>
          <w:r>
            <w:tab/>
          </w:r>
          <w:r>
            <w:t>16</w:t>
          </w:r>
        </w:p>
        <w:p>
          <w:pPr>
            <w:pStyle w:val="11"/>
            <w:ind w:left="360"/>
            <w:tabs>
              <w:tab w:val="right" w:leader="dot" w:pos="9026"/>
            </w:tabs>
            <w:spacing w:before="120" w:after="60"/>
          </w:pPr>
          <w:r>
            <w:t>9.2. The exact Givens-QR compiler (V20)</w:t>
          </w:r>
          <w:r>
            <w:tab/>
          </w:r>
          <w:r>
            <w:t>16</w:t>
          </w:r>
        </w:p>
        <w:p>
          <w:pPr>
            <w:pStyle w:val="11"/>
            <w:ind w:left="360"/>
            <w:tabs>
              <w:tab w:val="right" w:leader="dot" w:pos="9026"/>
            </w:tabs>
            <w:spacing w:before="120" w:after="60"/>
          </w:pPr>
          <w:r>
            <w:t>9.3. Stage P0 and the processor roadmap</w:t>
          </w:r>
          <w:r>
            <w:tab/>
          </w:r>
          <w:r>
            <w:t>17</w:t>
          </w:r>
        </w:p>
        <w:p>
          <w:pPr>
            <w:pStyle w:val="9"/>
            <w:tabs>
              <w:tab w:val="right" w:leader="dot" w:pos="9026"/>
            </w:tabs>
            <w:spacing w:before="120" w:after="60"/>
          </w:pPr>
          <w:r>
            <w:t>Chapter 10. "Reads, Does Not Carry" and Nonlocality</w:t>
          </w:r>
          <w:r>
            <w:tab/>
          </w:r>
          <w:r>
            <w:t>18</w:t>
          </w:r>
        </w:p>
        <w:p>
          <w:pPr>
            <w:pStyle w:val="11"/>
            <w:ind w:left="360"/>
            <w:tabs>
              <w:tab w:val="right" w:leader="dot" w:pos="9026"/>
            </w:tabs>
            <w:spacing w:before="120" w:after="60"/>
          </w:pPr>
          <w:r>
            <w:t>10.1. V23 preview: reading zeros from six constants</w:t>
          </w:r>
          <w:r>
            <w:tab/>
          </w:r>
          <w:r>
            <w:t>18</w:t>
          </w:r>
        </w:p>
        <w:p>
          <w:pPr>
            <w:pStyle w:val="11"/>
            <w:ind w:left="360"/>
            <w:tabs>
              <w:tab w:val="right" w:leader="dot" w:pos="9026"/>
            </w:tabs>
            <w:spacing w:before="120" w:after="60"/>
          </w:pPr>
          <w:r>
            <w:t>10.2. V24 preview: nonlocality without signaling</w:t>
          </w:r>
          <w:r>
            <w:tab/>
          </w:r>
          <w:r>
            <w:t>18</w:t>
          </w:r>
        </w:p>
        <w:p>
          <w:pPr>
            <w:pStyle w:val="9"/>
            <w:tabs>
              <w:tab w:val="right" w:leader="dot" w:pos="9026"/>
            </w:tabs>
            <w:spacing w:before="120" w:after="60"/>
          </w:pPr>
          <w:r>
            <w:t>Chapter 11. The Verification Platform: Blind Protocols E01–E10</w:t>
          </w:r>
          <w:r>
            <w:tab/>
          </w:r>
          <w:r>
            <w:t>19</w:t>
          </w:r>
        </w:p>
        <w:p>
          <w:pPr>
            <w:pStyle w:val="11"/>
            <w:ind w:left="360"/>
            <w:tabs>
              <w:tab w:val="right" w:leader="dot" w:pos="9026"/>
            </w:tabs>
            <w:spacing w:before="120" w:after="60"/>
          </w:pPr>
          <w:r>
            <w:t>11.1. Independence as design</w:t>
          </w:r>
          <w:r>
            <w:tab/>
          </w:r>
          <w:r>
            <w:t>19</w:t>
          </w:r>
        </w:p>
        <w:p>
          <w:pPr>
            <w:pStyle w:val="11"/>
            <w:ind w:left="360"/>
            <w:tabs>
              <w:tab w:val="right" w:leader="dot" w:pos="9026"/>
            </w:tabs>
            <w:spacing w:before="120" w:after="60"/>
          </w:pPr>
          <w:r>
            <w:t>11.2. Why infrastructure is science</w:t>
          </w:r>
          <w:r>
            <w:tab/>
          </w:r>
          <w:r>
            <w:t>20</w:t>
          </w:r>
        </w:p>
        <w:p>
          <w:pPr>
            <w:pStyle w:val="9"/>
            <w:tabs>
              <w:tab w:val="right" w:leader="dot" w:pos="9026"/>
            </w:tabs>
            <w:spacing w:before="120" w:after="60"/>
          </w:pPr>
          <w:r>
            <w:t>Chapter 12. Blind Zero Reading: E16 and E17</w:t>
          </w:r>
          <w:r>
            <w:tab/>
          </w:r>
          <w:r>
            <w:t>20</w:t>
          </w:r>
        </w:p>
        <w:p>
          <w:pPr>
            <w:pStyle w:val="11"/>
            <w:ind w:left="360"/>
            <w:tabs>
              <w:tab w:val="right" w:leader="dot" w:pos="9026"/>
            </w:tabs>
            <w:spacing w:before="120" w:after="60"/>
          </w:pPr>
          <w:r>
            <w:t>12.1. The independent Riemann–Siegel (E16)</w:t>
          </w:r>
          <w:r>
            <w:tab/>
          </w:r>
          <w:r>
            <w:t>20</w:t>
          </w:r>
        </w:p>
        <w:p>
          <w:pPr>
            <w:pStyle w:val="11"/>
            <w:ind w:left="360"/>
            <w:tabs>
              <w:tab w:val="right" w:leader="dot" w:pos="9026"/>
            </w:tabs>
            <w:spacing w:before="120" w:after="60"/>
          </w:pPr>
          <w:r>
            <w:t>12.2. Blind reading (E17): the protocol</w:t>
          </w:r>
          <w:r>
            <w:tab/>
          </w:r>
          <w:r>
            <w:t>21</w:t>
          </w:r>
        </w:p>
        <w:p>
          <w:pPr>
            <w:pStyle w:val="11"/>
            <w:ind w:left="360"/>
            <w:tabs>
              <w:tab w:val="right" w:leader="dot" w:pos="9026"/>
            </w:tabs>
            <w:spacing w:before="120" w:after="60"/>
          </w:pPr>
          <w:r>
            <w:t>12.3. What E17 proves and does not prove</w:t>
          </w:r>
          <w:r>
            <w:tab/>
          </w:r>
          <w:r>
            <w:t>22</w:t>
          </w:r>
        </w:p>
        <w:p>
          <w:pPr>
            <w:pStyle w:val="9"/>
            <w:tabs>
              <w:tab w:val="right" w:leader="dot" w:pos="9026"/>
            </w:tabs>
            <w:spacing w:before="120" w:after="60"/>
          </w:pPr>
          <w:r>
            <w:t>Chapter 13. Class B: the Compiler versus Five Baselines (E18)</w:t>
          </w:r>
          <w:r>
            <w:tab/>
          </w:r>
          <w:r>
            <w:t>22</w:t>
          </w:r>
        </w:p>
        <w:p>
          <w:pPr>
            <w:pStyle w:val="11"/>
            <w:ind w:left="360"/>
            <w:tabs>
              <w:tab w:val="right" w:leader="dot" w:pos="9026"/>
            </w:tabs>
            <w:spacing w:before="120" w:after="60"/>
          </w:pPr>
          <w:r>
            <w:t>13.1. The design of a fair comparison</w:t>
          </w:r>
          <w:r>
            <w:tab/>
          </w:r>
          <w:r>
            <w:t>22</w:t>
          </w:r>
        </w:p>
        <w:p>
          <w:pPr>
            <w:pStyle w:val="11"/>
            <w:ind w:left="360"/>
            <w:tabs>
              <w:tab w:val="right" w:leader="dot" w:pos="9026"/>
            </w:tabs>
            <w:spacing w:before="120" w:after="60"/>
          </w:pPr>
          <w:r>
            <w:t>13.2. The honest boundary: the KAK optimum</w:t>
          </w:r>
          <w:r>
            <w:tab/>
          </w:r>
          <w:r>
            <w:t>23</w:t>
          </w:r>
        </w:p>
        <w:p>
          <w:pPr>
            <w:pStyle w:val="11"/>
            <w:ind w:left="360"/>
            <w:tabs>
              <w:tab w:val="right" w:leader="dot" w:pos="9026"/>
            </w:tabs>
            <w:spacing w:before="120" w:after="60"/>
          </w:pPr>
          <w:r>
            <w:t>13.3. Methodological significance</w:t>
          </w:r>
          <w:r>
            <w:tab/>
          </w:r>
          <w:r>
            <w:t>23</w:t>
          </w:r>
        </w:p>
        <w:p>
          <w:pPr>
            <w:pStyle w:val="9"/>
            <w:tabs>
              <w:tab w:val="right" w:leader="dot" w:pos="9026"/>
            </w:tabs>
            <w:spacing w:before="120" w:after="60"/>
          </w:pPr>
          <w:r>
            <w:t>Chapter 14. The Spinor Study: The Machine with No Long-Term Memory</w:t>
          </w:r>
          <w:r>
            <w:tab/>
          </w:r>
          <w:r>
            <w:t>23</w:t>
          </w:r>
        </w:p>
        <w:p>
          <w:pPr>
            <w:pStyle w:val="11"/>
            <w:ind w:left="360"/>
            <w:tabs>
              <w:tab w:val="right" w:leader="dot" w:pos="9026"/>
            </w:tabs>
            <w:spacing w:before="120" w:after="60"/>
          </w:pPr>
          <w:r>
            <w:t>14.1. The idea: state as phase</w:t>
          </w:r>
          <w:r>
            <w:tab/>
          </w:r>
          <w:r>
            <w:t>24</w:t>
          </w:r>
        </w:p>
        <w:p>
          <w:pPr>
            <w:pStyle w:val="11"/>
            <w:ind w:left="360"/>
            <w:tabs>
              <w:tab w:val="right" w:leader="dot" w:pos="9026"/>
            </w:tabs>
            <w:spacing w:before="120" w:after="60"/>
          </w:pPr>
          <w:r>
            <w:t>14.2. Theorem TS1: closure of phase cycles</w:t>
          </w:r>
          <w:r>
            <w:tab/>
          </w:r>
          <w:r>
            <w:t>24</w:t>
          </w:r>
        </w:p>
        <w:p>
          <w:pPr>
            <w:pStyle w:val="11"/>
            <w:ind w:left="360"/>
            <w:tabs>
              <w:tab w:val="right" w:leader="dot" w:pos="9026"/>
            </w:tabs>
            <w:spacing w:before="120" w:after="60"/>
          </w:pPr>
          <w:r>
            <w:t>14.3. Theorem TS2: irreversibility of reset</w:t>
          </w:r>
          <w:r>
            <w:tab/>
          </w:r>
          <w:r>
            <w:t>24</w:t>
          </w:r>
        </w:p>
        <w:p>
          <w:pPr>
            <w:pStyle w:val="11"/>
            <w:ind w:left="360"/>
            <w:tabs>
              <w:tab w:val="right" w:leader="dot" w:pos="9026"/>
            </w:tabs>
            <w:spacing w:before="120" w:after="60"/>
          </w:pPr>
          <w:r>
            <w:t>14.4. Theorem TS3: O(1) steps versus the Ω(t) log</w:t>
          </w:r>
          <w:r>
            <w:tab/>
          </w:r>
          <w:r>
            <w:t>25</w:t>
          </w:r>
        </w:p>
        <w:p>
          <w:pPr>
            <w:pStyle w:val="9"/>
            <w:tabs>
              <w:tab w:val="right" w:leader="dot" w:pos="9026"/>
            </w:tabs>
            <w:spacing w:before="120" w:after="60"/>
          </w:pPr>
          <w:r>
            <w:t>Chapter 15. Campaigns ES1–ES5: Measuring Volatility</w:t>
          </w:r>
          <w:r>
            <w:tab/>
          </w:r>
          <w:r>
            <w:t>25</w:t>
          </w:r>
        </w:p>
        <w:p>
          <w:pPr>
            <w:pStyle w:val="11"/>
            <w:ind w:left="360"/>
            <w:tabs>
              <w:tab w:val="right" w:leader="dot" w:pos="9026"/>
            </w:tabs>
            <w:spacing w:before="120" w:after="60"/>
          </w:pPr>
          <w:r>
            <w:t>15.1. From cycles to a task (ES1 → ES4)</w:t>
          </w:r>
          <w:r>
            <w:tab/>
          </w:r>
          <w:r>
            <w:t>26</w:t>
          </w:r>
        </w:p>
        <w:p>
          <w:pPr>
            <w:pStyle w:val="11"/>
            <w:ind w:left="360"/>
            <w:tabs>
              <w:tab w:val="right" w:leader="dot" w:pos="9026"/>
            </w:tabs>
            <w:spacing w:before="120" w:after="60"/>
          </w:pPr>
          <w:r>
            <w:t>15.2. Noise and the silence zone (ES5)</w:t>
          </w:r>
          <w:r>
            <w:tab/>
          </w:r>
          <w:r>
            <w:t>26</w:t>
          </w:r>
        </w:p>
        <w:p>
          <w:pPr>
            <w:pStyle w:val="11"/>
            <w:ind w:left="360"/>
            <w:tabs>
              <w:tab w:val="right" w:leader="dot" w:pos="9026"/>
            </w:tabs>
            <w:spacing w:before="120" w:after="60"/>
          </w:pPr>
          <w:r>
            <w:t>15.3. Relation to the parent program</w:t>
          </w:r>
          <w:r>
            <w:tab/>
          </w:r>
          <w:r>
            <w:t>26</w:t>
          </w:r>
        </w:p>
        <w:p>
          <w:pPr>
            <w:pStyle w:val="9"/>
            <w:tabs>
              <w:tab w:val="right" w:leader="dot" w:pos="9026"/>
            </w:tabs>
            <w:spacing w:before="120" w:after="60"/>
          </w:pPr>
          <w:r>
            <w:t>Chapter 16. Data: Datasets, Timeline, Atlas</w:t>
          </w:r>
          <w:r>
            <w:tab/>
          </w:r>
          <w:r>
            <w:t>27</w:t>
          </w:r>
        </w:p>
        <w:p>
          <w:pPr>
            <w:pStyle w:val="11"/>
            <w:ind w:left="360"/>
            <w:tabs>
              <w:tab w:val="right" w:leader="dot" w:pos="9026"/>
            </w:tabs>
            <w:spacing w:before="120" w:after="60"/>
          </w:pPr>
          <w:r>
            <w:t>16.1. Curated datasets</w:t>
          </w:r>
          <w:r>
            <w:tab/>
          </w:r>
          <w:r>
            <w:t>27</w:t>
          </w:r>
        </w:p>
        <w:p>
          <w:pPr>
            <w:pStyle w:val="11"/>
            <w:ind w:left="360"/>
            <w:tabs>
              <w:tab w:val="right" w:leader="dot" w:pos="9026"/>
            </w:tabs>
            <w:spacing w:before="120" w:after="60"/>
          </w:pPr>
          <w:r>
            <w:t>16.2. Timeline and atlas</w:t>
          </w:r>
          <w:r>
            <w:tab/>
          </w:r>
          <w:r>
            <w:t>27</w:t>
          </w:r>
        </w:p>
        <w:p>
          <w:pPr>
            <w:pStyle w:val="11"/>
            <w:ind w:left="360"/>
            <w:tabs>
              <w:tab w:val="right" w:leader="dot" w:pos="9026"/>
            </w:tabs>
            <w:spacing w:before="120" w:after="60"/>
          </w:pPr>
          <w:r>
            <w:t>16.3. Four-dimension tiles</w:t>
          </w:r>
          <w:r>
            <w:tab/>
          </w:r>
          <w:r>
            <w:t>28</w:t>
          </w:r>
        </w:p>
        <w:p>
          <w:pPr>
            <w:pStyle w:val="9"/>
            <w:tabs>
              <w:tab w:val="right" w:leader="dot" w:pos="9026"/>
            </w:tabs>
            <w:spacing w:before="120" w:after="60"/>
          </w:pPr>
          <w:r>
            <w:t>Chapter 17. Web Laboratories</w:t>
          </w:r>
          <w:r>
            <w:tab/>
          </w:r>
          <w:r>
            <w:t>28</w:t>
          </w:r>
        </w:p>
        <w:p>
          <w:pPr>
            <w:pStyle w:val="9"/>
            <w:tabs>
              <w:tab w:val="right" w:leader="dot" w:pos="9026"/>
            </w:tabs>
            <w:spacing w:before="120" w:after="60"/>
          </w:pPr>
          <w:r>
            <w:t>Chapter 18. The Formal Layer: Lean 4, Coq, Agda, Isabelle</w:t>
          </w:r>
          <w:r>
            <w:tab/>
          </w:r>
          <w:r>
            <w:t>29</w:t>
          </w:r>
        </w:p>
        <w:p>
          <w:pPr>
            <w:pStyle w:val="11"/>
            <w:ind w:left="360"/>
            <w:tabs>
              <w:tab w:val="right" w:leader="dot" w:pos="9026"/>
            </w:tabs>
            <w:spacing w:before="120" w:after="60"/>
          </w:pPr>
          <w:r>
            <w:t>18.1. Reductions A1–A6</w:t>
          </w:r>
          <w:r>
            <w:tab/>
          </w:r>
          <w:r>
            <w:t>29</w:t>
          </w:r>
        </w:p>
        <w:p>
          <w:pPr>
            <w:pStyle w:val="11"/>
            <w:ind w:left="360"/>
            <w:tabs>
              <w:tab w:val="right" w:leader="dot" w:pos="9026"/>
            </w:tabs>
            <w:spacing w:before="120" w:after="60"/>
          </w:pPr>
          <w:r>
            <w:t>18.2. Multi-prover duplication</w:t>
          </w:r>
          <w:r>
            <w:tab/>
          </w:r>
          <w:r>
            <w:t>29</w:t>
          </w:r>
        </w:p>
        <w:p>
          <w:pPr>
            <w:pStyle w:val="9"/>
            <w:tabs>
              <w:tab w:val="right" w:leader="dot" w:pos="9026"/>
            </w:tabs>
            <w:spacing w:before="120" w:after="60"/>
          </w:pPr>
          <w:r>
            <w:t>Chapter 19. Level Research Programs</w:t>
          </w:r>
          <w:r>
            <w:tab/>
          </w:r>
          <w:r>
            <w:t>30</w:t>
          </w:r>
        </w:p>
        <w:p>
          <w:pPr>
            <w:pStyle w:val="11"/>
            <w:ind w:left="360"/>
            <w:tabs>
              <w:tab w:val="right" w:leader="dot" w:pos="9026"/>
            </w:tabs>
            <w:spacing w:before="120" w:after="60"/>
          </w:pPr>
          <w:r>
            <w:t>19.1. The core program (R2)</w:t>
          </w:r>
          <w:r>
            <w:tab/>
          </w:r>
          <w:r>
            <w:t>30</w:t>
          </w:r>
        </w:p>
        <w:p>
          <w:pPr>
            <w:pStyle w:val="11"/>
            <w:ind w:left="360"/>
            <w:tabs>
              <w:tab w:val="right" w:leader="dot" w:pos="9026"/>
            </w:tabs>
            <w:spacing w:before="120" w:after="60"/>
          </w:pPr>
          <w:r>
            <w:t>19.2. The processor program (P0–P6)</w:t>
          </w:r>
          <w:r>
            <w:tab/>
          </w:r>
          <w:r>
            <w:t>30</w:t>
          </w:r>
        </w:p>
        <w:p>
          <w:pPr>
            <w:pStyle w:val="11"/>
            <w:ind w:left="360"/>
            <w:tabs>
              <w:tab w:val="right" w:leader="dot" w:pos="9026"/>
            </w:tabs>
            <w:spacing w:before="120" w:after="60"/>
          </w:pPr>
          <w:r>
            <w:t>19.3. The verification program (O-J)</w:t>
          </w:r>
          <w:r>
            <w:tab/>
          </w:r>
          <w:r>
            <w:t>30</w:t>
          </w:r>
        </w:p>
        <w:p>
          <w:pPr>
            <w:pStyle w:val="11"/>
            <w:ind w:left="360"/>
            <w:tabs>
              <w:tab w:val="right" w:leader="dot" w:pos="9026"/>
            </w:tabs>
            <w:spacing w:before="120" w:after="60"/>
          </w:pPr>
          <w:r>
            <w:t>19.4. The spinor program</w:t>
          </w:r>
          <w:r>
            <w:tab/>
          </w:r>
          <w:r>
            <w:t>31</w:t>
          </w:r>
        </w:p>
        <w:p>
          <w:pPr>
            <w:pStyle w:val="9"/>
            <w:tabs>
              <w:tab w:val="right" w:leader="dot" w:pos="9026"/>
            </w:tabs>
            <w:spacing w:before="120" w:after="60"/>
          </w:pPr>
          <w:r>
            <w:t>Chapter 20. The Hypothesis Laboratory</w:t>
          </w:r>
          <w:r>
            <w:tab/>
          </w:r>
          <w:r>
            <w:t>31</w:t>
          </w:r>
        </w:p>
        <w:p>
          <w:pPr>
            <w:pStyle w:val="11"/>
            <w:ind w:left="360"/>
            <w:tabs>
              <w:tab w:val="right" w:leader="dot" w:pos="9026"/>
            </w:tabs>
            <w:spacing w:before="120" w:after="60"/>
          </w:pPr>
          <w:r>
            <w:t>20.1. Why a laboratory</w:t>
          </w:r>
          <w:r>
            <w:tab/>
          </w:r>
          <w:r>
            <w:t>31</w:t>
          </w:r>
        </w:p>
        <w:p>
          <w:pPr>
            <w:pStyle w:val="11"/>
            <w:ind w:left="360"/>
            <w:tabs>
              <w:tab w:val="right" w:leader="dot" w:pos="9026"/>
            </w:tabs>
            <w:spacing w:before="120" w:after="60"/>
          </w:pPr>
          <w:r>
            <w:t>20.2. Experiment batteries</w:t>
          </w:r>
          <w:r>
            <w:tab/>
          </w:r>
          <w:r>
            <w:t>31</w:t>
          </w:r>
        </w:p>
        <w:p>
          <w:pPr>
            <w:pStyle w:val="11"/>
            <w:ind w:left="360"/>
            <w:tabs>
              <w:tab w:val="right" w:leader="dot" w:pos="9026"/>
            </w:tabs>
            <w:spacing w:before="120" w:after="60"/>
          </w:pPr>
          <w:r>
            <w:t>20.3. Laboratory rules</w:t>
          </w:r>
          <w:r>
            <w:tab/>
          </w:r>
          <w:r>
            <w:t>32</w:t>
          </w:r>
        </w:p>
        <w:p>
          <w:pPr>
            <w:pStyle w:val="9"/>
            <w:tabs>
              <w:tab w:val="right" w:leader="dot" w:pos="9026"/>
            </w:tabs>
            <w:spacing w:before="120" w:after="60"/>
          </w:pPr>
          <w:r>
            <w:t>Chapter 21. Roadmaps and Conclusion</w:t>
          </w:r>
          <w:r>
            <w:tab/>
          </w:r>
          <w:r>
            <w:t>33</w:t>
          </w:r>
        </w:p>
        <w:p>
          <w:pPr>
            <w:pStyle w:val="11"/>
            <w:ind w:left="360"/>
            <w:tabs>
              <w:tab w:val="right" w:leader="dot" w:pos="9026"/>
            </w:tabs>
            <w:spacing w:before="120" w:after="60"/>
          </w:pPr>
          <w:r>
            <w:t>21.1. Conclusion</w:t>
          </w:r>
          <w:r>
            <w:tab/>
          </w:r>
          <w:r>
            <w:t>33</w:t>
          </w:r>
        </w:p>
        <w:p>
          <w:pPr>
            <w:pStyle w:val="9"/>
            <w:tabs>
              <w:tab w:val="right" w:leader="dot" w:pos="9026"/>
            </w:tabs>
            <w:spacing w:before="120" w:after="60"/>
          </w:pPr>
          <w:r>
            <w:t>Chapter 22. Mathematical Background</w:t>
          </w:r>
          <w:r>
            <w:tab/>
          </w:r>
          <w:r>
            <w:t>34</w:t>
          </w:r>
        </w:p>
        <w:p>
          <w:pPr>
            <w:pStyle w:val="11"/>
            <w:ind w:left="360"/>
            <w:tabs>
              <w:tab w:val="right" w:leader="dot" w:pos="9026"/>
            </w:tabs>
            <w:spacing w:before="120" w:after="60"/>
          </w:pPr>
          <w:r>
            <w:t>22.1. The zeta function and zero counting</w:t>
          </w:r>
          <w:r>
            <w:tab/>
          </w:r>
          <w:r>
            <w:t>34</w:t>
          </w:r>
        </w:p>
        <w:p>
          <w:pPr>
            <w:pStyle w:val="11"/>
            <w:ind w:left="360"/>
            <w:tabs>
              <w:tab w:val="right" w:leader="dot" w:pos="9026"/>
            </w:tabs>
            <w:spacing w:before="120" w:after="60"/>
          </w:pPr>
          <w:r>
            <w:t>22.2. GUE statistics and null models</w:t>
          </w:r>
          <w:r>
            <w:tab/>
          </w:r>
          <w:r>
            <w:t>34</w:t>
          </w:r>
        </w:p>
        <w:p>
          <w:pPr>
            <w:pStyle w:val="11"/>
            <w:ind w:left="360"/>
            <w:tabs>
              <w:tab w:val="right" w:leader="dot" w:pos="9026"/>
            </w:tabs>
            <w:spacing w:before="120" w:after="60"/>
          </w:pPr>
          <w:r>
            <w:t>22.3. The heat trace and the trace formula</w:t>
          </w:r>
          <w:r>
            <w:tab/>
          </w:r>
          <w:r>
            <w:t>35</w:t>
          </w:r>
        </w:p>
        <w:p>
          <w:pPr>
            <w:pStyle w:val="11"/>
            <w:ind w:left="360"/>
            <w:tabs>
              <w:tab w:val="right" w:leader="dot" w:pos="9026"/>
            </w:tabs>
            <w:spacing w:before="120" w:after="60"/>
          </w:pPr>
          <w:r>
            <w:t>22.4. Kato theory and the Li formula</w:t>
          </w:r>
          <w:r>
            <w:tab/>
          </w:r>
          <w:r>
            <w:t>35</w:t>
          </w:r>
        </w:p>
        <w:p>
          <w:pPr>
            <w:pStyle w:val="11"/>
            <w:ind w:left="360"/>
            <w:tabs>
              <w:tab w:val="right" w:leader="dot" w:pos="9026"/>
            </w:tabs>
            <w:spacing w:before="120" w:after="60"/>
          </w:pPr>
          <w:r>
            <w:t>22.5. CHSH and nonlocality without signaling</w:t>
          </w:r>
          <w:r>
            <w:tab/>
          </w:r>
          <w:r>
            <w:t>36</w:t>
          </w:r>
        </w:p>
        <w:p>
          <w:pPr>
            <w:pStyle w:val="9"/>
            <w:tabs>
              <w:tab w:val="right" w:leader="dot" w:pos="9026"/>
            </w:tabs>
            <w:spacing w:before="120" w:after="60"/>
          </w:pPr>
          <w:r>
            <w:t>Chapter 23. Case Studies: How to Read the Verdicts</w:t>
          </w:r>
          <w:r>
            <w:tab/>
          </w:r>
          <w:r>
            <w:t>36</w:t>
          </w:r>
        </w:p>
        <w:p>
          <w:pPr>
            <w:pStyle w:val="11"/>
            <w:ind w:left="360"/>
            <w:tabs>
              <w:tab w:val="right" w:leader="dot" w:pos="9026"/>
            </w:tabs>
            <w:spacing w:before="120" w:after="60"/>
          </w:pPr>
          <w:r>
            <w:t>23.1. V7: the arithmetic of the trace</w:t>
          </w:r>
          <w:r>
            <w:tab/>
          </w:r>
          <w:r>
            <w:t>36</w:t>
          </w:r>
        </w:p>
        <w:p>
          <w:pPr>
            <w:pStyle w:val="11"/>
            <w:ind w:left="360"/>
            <w:tabs>
              <w:tab w:val="right" w:leader="dot" w:pos="9026"/>
            </w:tabs>
            <w:spacing w:before="120" w:after="60"/>
          </w:pPr>
          <w:r>
            <w:t>23.2. V13: the map of obligations</w:t>
          </w:r>
          <w:r>
            <w:tab/>
          </w:r>
          <w:r>
            <w:t>37</w:t>
          </w:r>
        </w:p>
        <w:p>
          <w:pPr>
            <w:pStyle w:val="11"/>
            <w:ind w:left="360"/>
            <w:tabs>
              <w:tab w:val="right" w:leader="dot" w:pos="9026"/>
            </w:tabs>
            <w:spacing w:before="120" w:after="60"/>
          </w:pPr>
          <w:r>
            <w:t>23.3. E17: blind reading from pin to verdict</w:t>
          </w:r>
          <w:r>
            <w:tab/>
          </w:r>
          <w:r>
            <w:t>37</w:t>
          </w:r>
        </w:p>
        <w:p>
          <w:pPr>
            <w:pStyle w:val="11"/>
            <w:ind w:left="360"/>
            <w:tabs>
              <w:tab w:val="right" w:leader="dot" w:pos="9026"/>
            </w:tabs>
            <w:spacing w:before="120" w:after="60"/>
          </w:pPr>
          <w:r>
            <w:t>23.4. V20: compilation at the arithmetic limit</w:t>
          </w:r>
          <w:r>
            <w:tab/>
          </w:r>
          <w:r>
            <w:t>39</w:t>
          </w:r>
        </w:p>
        <w:p>
          <w:pPr>
            <w:pStyle w:val="11"/>
            <w:ind w:left="360"/>
            <w:tabs>
              <w:tab w:val="right" w:leader="dot" w:pos="9026"/>
            </w:tabs>
            <w:spacing w:before="120" w:after="60"/>
          </w:pPr>
          <w:r>
            <w:t>23.5. ES3: measuring the step cost</w:t>
          </w:r>
          <w:r>
            <w:tab/>
          </w:r>
          <w:r>
            <w:t>39</w:t>
          </w:r>
        </w:p>
        <w:p>
          <w:pPr>
            <w:pStyle w:val="9"/>
            <w:tabs>
              <w:tab w:val="right" w:leader="dot" w:pos="9026"/>
            </w:tabs>
            <w:spacing w:before="120" w:after="60"/>
          </w:pPr>
          <w:r>
            <w:t>Research Program: The Spectral Core</w:t>
          </w:r>
          <w:r>
            <w:tab/>
          </w:r>
          <w:r>
            <w:t>40</w:t>
          </w:r>
        </w:p>
        <w:p>
          <w:pPr>
            <w:pStyle w:val="11"/>
            <w:ind w:left="360"/>
            <w:tabs>
              <w:tab w:val="right" w:leader="dot" w:pos="9026"/>
            </w:tabs>
            <w:spacing w:before="120" w:after="60"/>
          </w:pPr>
          <w:r>
            <w:t>1. Program goals</w:t>
          </w:r>
          <w:r>
            <w:tab/>
          </w:r>
          <w:r>
            <w:t>40</w:t>
          </w:r>
        </w:p>
        <w:p>
          <w:pPr>
            <w:pStyle w:val="11"/>
            <w:ind w:left="360"/>
            <w:tabs>
              <w:tab w:val="right" w:leader="dot" w:pos="9026"/>
            </w:tabs>
            <w:spacing w:before="120" w:after="60"/>
          </w:pPr>
          <w:r>
            <w:t>2. Methodology</w:t>
          </w:r>
          <w:r>
            <w:tab/>
          </w:r>
          <w:r>
            <w:t>41</w:t>
          </w:r>
        </w:p>
        <w:p>
          <w:pPr>
            <w:pStyle w:val="11"/>
            <w:ind w:left="360"/>
            <w:tabs>
              <w:tab w:val="right" w:leader="dot" w:pos="9026"/>
            </w:tabs>
            <w:spacing w:before="120" w:after="60"/>
          </w:pPr>
          <w:r>
            <w:t>3. Executed campaigns</w:t>
          </w:r>
          <w:r>
            <w:tab/>
          </w:r>
          <w:r>
            <w:t>41</w:t>
          </w:r>
        </w:p>
        <w:p>
          <w:pPr>
            <w:pStyle w:val="11"/>
            <w:ind w:left="360"/>
            <w:tabs>
              <w:tab w:val="right" w:leader="dot" w:pos="9026"/>
            </w:tabs>
            <w:spacing w:before="120" w:after="60"/>
          </w:pPr>
          <w:r>
            <w:t>4. The next wave</w:t>
          </w:r>
          <w:r>
            <w:tab/>
          </w:r>
          <w:r>
            <w:t>41</w:t>
          </w:r>
        </w:p>
        <w:p>
          <w:pPr>
            <w:pStyle w:val="11"/>
            <w:ind w:left="360"/>
            <w:tabs>
              <w:tab w:val="right" w:leader="dot" w:pos="9026"/>
            </w:tabs>
            <w:spacing w:before="120" w:after="60"/>
          </w:pPr>
          <w:r>
            <w:t>5. Honest boundaries</w:t>
          </w:r>
          <w:r>
            <w:tab/>
          </w:r>
          <w:r>
            <w:t>42</w:t>
          </w:r>
        </w:p>
        <w:p>
          <w:pPr>
            <w:pStyle w:val="9"/>
            <w:tabs>
              <w:tab w:val="right" w:leader="dot" w:pos="9026"/>
            </w:tabs>
            <w:spacing w:before="120" w:after="60"/>
          </w:pPr>
          <w:r>
            <w:t>Research Program: The AB Processor</w:t>
          </w:r>
          <w:r>
            <w:tab/>
          </w:r>
          <w:r>
            <w:t>42</w:t>
          </w:r>
        </w:p>
        <w:p>
          <w:pPr>
            <w:pStyle w:val="11"/>
            <w:ind w:left="360"/>
            <w:tabs>
              <w:tab w:val="right" w:leader="dot" w:pos="9026"/>
            </w:tabs>
            <w:spacing w:before="120" w:after="60"/>
          </w:pPr>
          <w:r>
            <w:t>1. Program goals</w:t>
          </w:r>
          <w:r>
            <w:tab/>
          </w:r>
          <w:r>
            <w:t>43</w:t>
          </w:r>
        </w:p>
        <w:p>
          <w:pPr>
            <w:pStyle w:val="11"/>
            <w:ind w:left="360"/>
            <w:tabs>
              <w:tab w:val="right" w:leader="dot" w:pos="9026"/>
            </w:tabs>
            <w:spacing w:before="120" w:after="60"/>
          </w:pPr>
          <w:r>
            <w:t>2. Methodology</w:t>
          </w:r>
          <w:r>
            <w:tab/>
          </w:r>
          <w:r>
            <w:t>43</w:t>
          </w:r>
        </w:p>
        <w:p>
          <w:pPr>
            <w:pStyle w:val="11"/>
            <w:ind w:left="360"/>
            <w:tabs>
              <w:tab w:val="right" w:leader="dot" w:pos="9026"/>
            </w:tabs>
            <w:spacing w:before="120" w:after="60"/>
          </w:pPr>
          <w:r>
            <w:t>3. Executed: P0 (V20)</w:t>
          </w:r>
          <w:r>
            <w:tab/>
          </w:r>
          <w:r>
            <w:t>43</w:t>
          </w:r>
        </w:p>
        <w:p>
          <w:pPr>
            <w:pStyle w:val="11"/>
            <w:ind w:left="360"/>
            <w:tabs>
              <w:tab w:val="right" w:leader="dot" w:pos="9026"/>
            </w:tabs>
            <w:spacing w:before="120" w:after="60"/>
          </w:pPr>
          <w:r>
            <w:t>4. The P0–P6 roadmap</w:t>
          </w:r>
          <w:r>
            <w:tab/>
          </w:r>
          <w:r>
            <w:t>44</w:t>
          </w:r>
        </w:p>
        <w:p>
          <w:pPr>
            <w:pStyle w:val="11"/>
            <w:ind w:left="360"/>
            <w:tabs>
              <w:tab w:val="right" w:leader="dot" w:pos="9026"/>
            </w:tabs>
            <w:spacing w:before="120" w:after="60"/>
          </w:pPr>
          <w:r>
            <w:t>5. Honest boundaries</w:t>
          </w:r>
          <w:r>
            <w:tab/>
          </w:r>
          <w:r>
            <w:t>44</w:t>
          </w:r>
        </w:p>
        <w:p>
          <w:pPr>
            <w:pStyle w:val="9"/>
            <w:tabs>
              <w:tab w:val="right" w:leader="dot" w:pos="9026"/>
            </w:tabs>
            <w:spacing w:before="120" w:after="60"/>
          </w:pPr>
          <w:r>
            <w:t>Research Program: The Verification Platform</w:t>
          </w:r>
          <w:r>
            <w:tab/>
          </w:r>
          <w:r>
            <w:t>44</w:t>
          </w:r>
        </w:p>
        <w:p>
          <w:pPr>
            <w:pStyle w:val="11"/>
            <w:ind w:left="360"/>
            <w:tabs>
              <w:tab w:val="right" w:leader="dot" w:pos="9026"/>
            </w:tabs>
            <w:spacing w:before="120" w:after="60"/>
          </w:pPr>
          <w:r>
            <w:t>1. Program goals</w:t>
          </w:r>
          <w:r>
            <w:tab/>
          </w:r>
          <w:r>
            <w:t>45</w:t>
          </w:r>
        </w:p>
        <w:p>
          <w:pPr>
            <w:pStyle w:val="11"/>
            <w:ind w:left="360"/>
            <w:tabs>
              <w:tab w:val="right" w:leader="dot" w:pos="9026"/>
            </w:tabs>
            <w:spacing w:before="120" w:after="60"/>
          </w:pPr>
          <w:r>
            <w:t>2. Methodology</w:t>
          </w:r>
          <w:r>
            <w:tab/>
          </w:r>
          <w:r>
            <w:t>45</w:t>
          </w:r>
        </w:p>
        <w:p>
          <w:pPr>
            <w:pStyle w:val="11"/>
            <w:ind w:left="360"/>
            <w:tabs>
              <w:tab w:val="right" w:leader="dot" w:pos="9026"/>
            </w:tabs>
            <w:spacing w:before="120" w:after="60"/>
          </w:pPr>
          <w:r>
            <w:t>3. Executed campaigns E01–E18</w:t>
          </w:r>
          <w:r>
            <w:tab/>
          </w:r>
          <w:r>
            <w:t>46</w:t>
          </w:r>
        </w:p>
        <w:p>
          <w:pPr>
            <w:pStyle w:val="11"/>
            <w:ind w:left="360"/>
            <w:tabs>
              <w:tab w:val="right" w:leader="dot" w:pos="9026"/>
            </w:tabs>
            <w:spacing w:before="120" w:after="60"/>
          </w:pPr>
          <w:r>
            <w:t>4. The O-J roadmap</w:t>
          </w:r>
          <w:r>
            <w:tab/>
          </w:r>
          <w:r>
            <w:t>46</w:t>
          </w:r>
        </w:p>
        <w:p>
          <w:pPr>
            <w:pStyle w:val="11"/>
            <w:ind w:left="360"/>
            <w:tabs>
              <w:tab w:val="right" w:leader="dot" w:pos="9026"/>
            </w:tabs>
            <w:spacing w:before="120" w:after="60"/>
          </w:pPr>
          <w:r>
            <w:t>5. Honest boundaries</w:t>
          </w:r>
          <w:r>
            <w:tab/>
          </w:r>
          <w:r>
            <w:t>47</w:t>
          </w:r>
        </w:p>
        <w:p>
          <w:pPr>
            <w:pStyle w:val="9"/>
            <w:tabs>
              <w:tab w:val="right" w:leader="dot" w:pos="9026"/>
            </w:tabs>
            <w:spacing w:before="120" w:after="60"/>
          </w:pPr>
          <w:r>
            <w:t>Research Program: The Spinor Study</w:t>
          </w:r>
          <w:r>
            <w:tab/>
          </w:r>
          <w:r>
            <w:t>47</w:t>
          </w:r>
        </w:p>
        <w:p>
          <w:pPr>
            <w:pStyle w:val="11"/>
            <w:ind w:left="360"/>
            <w:tabs>
              <w:tab w:val="right" w:leader="dot" w:pos="9026"/>
            </w:tabs>
            <w:spacing w:before="120" w:after="60"/>
          </w:pPr>
          <w:r>
            <w:t>1. Program goals</w:t>
          </w:r>
          <w:r>
            <w:tab/>
          </w:r>
          <w:r>
            <w:t>47</w:t>
          </w:r>
        </w:p>
        <w:p>
          <w:pPr>
            <w:pStyle w:val="11"/>
            <w:ind w:left="360"/>
            <w:tabs>
              <w:tab w:val="right" w:leader="dot" w:pos="9026"/>
            </w:tabs>
            <w:spacing w:before="120" w:after="60"/>
          </w:pPr>
          <w:r>
            <w:t>2. Models</w:t>
          </w:r>
          <w:r>
            <w:tab/>
          </w:r>
          <w:r>
            <w:t>48</w:t>
          </w:r>
        </w:p>
        <w:p>
          <w:pPr>
            <w:pStyle w:val="11"/>
            <w:ind w:left="360"/>
            <w:tabs>
              <w:tab w:val="right" w:leader="dot" w:pos="9026"/>
            </w:tabs>
            <w:spacing w:before="120" w:after="60"/>
          </w:pPr>
          <w:r>
            <w:t>3. Executed campaigns ES1–ES5</w:t>
          </w:r>
          <w:r>
            <w:tab/>
          </w:r>
          <w:r>
            <w:t>48</w:t>
          </w:r>
        </w:p>
        <w:p>
          <w:pPr>
            <w:pStyle w:val="11"/>
            <w:ind w:left="360"/>
            <w:tabs>
              <w:tab w:val="right" w:leader="dot" w:pos="9026"/>
            </w:tabs>
            <w:spacing w:before="120" w:after="60"/>
          </w:pPr>
          <w:r>
            <w:t>4. The next wave</w:t>
          </w:r>
          <w:r>
            <w:tab/>
          </w:r>
          <w:r>
            <w:t>49</w:t>
          </w:r>
        </w:p>
        <w:p>
          <w:pPr>
            <w:pStyle w:val="11"/>
            <w:ind w:left="360"/>
            <w:tabs>
              <w:tab w:val="right" w:leader="dot" w:pos="9026"/>
            </w:tabs>
            <w:spacing w:before="120" w:after="60"/>
          </w:pPr>
          <w:r>
            <w:t>5. Honest boundaries</w:t>
          </w:r>
          <w:r>
            <w:tab/>
          </w:r>
          <w:r>
            <w:t>49</w:t>
          </w:r>
        </w:p>
        <w:p>
          <w:pPr>
            <w:pStyle w:val="9"/>
            <w:tabs>
              <w:tab w:val="right" w:leader="dot" w:pos="9026"/>
            </w:tabs>
            <w:spacing w:before="120" w:after="60"/>
          </w:pPr>
          <w:r>
            <w:t>Chapter 24. Certificates and Audit: V10–V14</w:t>
          </w:r>
          <w:r>
            <w:tab/>
          </w:r>
          <w:r>
            <w:t>49</w:t>
          </w:r>
        </w:p>
        <w:p>
          <w:pPr>
            <w:pStyle w:val="11"/>
            <w:ind w:left="360"/>
            <w:tabs>
              <w:tab w:val="right" w:leader="dot" w:pos="9026"/>
            </w:tabs>
            <w:spacing w:before="120" w:after="60"/>
          </w:pPr>
          <w:r>
            <w:t>24.1. V10: certificate agreement</w:t>
          </w:r>
          <w:r>
            <w:tab/>
          </w:r>
          <w:r>
            <w:t>50</w:t>
          </w:r>
        </w:p>
        <w:p>
          <w:pPr>
            <w:pStyle w:val="11"/>
            <w:ind w:left="360"/>
            <w:tabs>
              <w:tab w:val="right" w:leader="dot" w:pos="9026"/>
            </w:tabs>
            <w:spacing w:before="120" w:after="60"/>
          </w:pPr>
          <w:r>
            <w:t>24.2. V11–V13: from a draft to the obligation machine</w:t>
          </w:r>
          <w:r>
            <w:tab/>
          </w:r>
          <w:r>
            <w:t>50</w:t>
          </w:r>
        </w:p>
        <w:p>
          <w:pPr>
            <w:pStyle w:val="11"/>
            <w:ind w:left="360"/>
            <w:tabs>
              <w:tab w:val="right" w:leader="dot" w:pos="9026"/>
            </w:tabs>
            <w:spacing w:before="120" w:after="60"/>
          </w:pPr>
          <w:r>
            <w:t>24.3. V14: the claim audit</w:t>
          </w:r>
          <w:r>
            <w:tab/>
          </w:r>
          <w:r>
            <w:t>50</w:t>
          </w:r>
        </w:p>
        <w:p>
          <w:pPr>
            <w:pStyle w:val="9"/>
            <w:tabs>
              <w:tab w:val="right" w:leader="dot" w:pos="9026"/>
            </w:tabs>
            <w:spacing w:before="120" w:after="60"/>
          </w:pPr>
          <w:r>
            <w:t>Chapter 25. Web Laboratories: 18 Tabs of Living Mathematics</w:t>
          </w:r>
          <w:r>
            <w:tab/>
          </w:r>
          <w:r>
            <w:t>51</w:t>
          </w:r>
        </w:p>
        <w:p>
          <w:pPr>
            <w:pStyle w:val="11"/>
            <w:ind w:left="360"/>
            <w:tabs>
              <w:tab w:val="right" w:leader="dot" w:pos="9026"/>
            </w:tabs>
            <w:spacing w:before="120" w:after="60"/>
          </w:pPr>
          <w:r>
            <w:t>25.1. The research portal</w:t>
          </w:r>
          <w:r>
            <w:tab/>
          </w:r>
          <w:r>
            <w:t>51</w:t>
          </w:r>
        </w:p>
        <w:p>
          <w:pPr>
            <w:pStyle w:val="11"/>
            <w:ind w:left="360"/>
            <w:tabs>
              <w:tab w:val="right" w:leader="dot" w:pos="9026"/>
            </w:tabs>
            <w:spacing w:before="120" w:after="60"/>
          </w:pPr>
          <w:r>
            <w:t>25.2. The core laboratory: 10 tabs</w:t>
          </w:r>
          <w:r>
            <w:tab/>
          </w:r>
          <w:r>
            <w:t>51</w:t>
          </w:r>
        </w:p>
        <w:p>
          <w:pPr>
            <w:pStyle w:val="11"/>
            <w:ind w:left="360"/>
            <w:tabs>
              <w:tab w:val="right" w:leader="dot" w:pos="9026"/>
            </w:tabs>
            <w:spacing w:before="120" w:after="60"/>
          </w:pPr>
          <w:r>
            <w:t>25.3. The processor laboratory: 8 tabs</w:t>
          </w:r>
          <w:r>
            <w:tab/>
          </w:r>
          <w:r>
            <w:t>51</w:t>
          </w:r>
        </w:p>
        <w:p>
          <w:pPr>
            <w:pStyle w:val="9"/>
            <w:tabs>
              <w:tab w:val="right" w:leader="dot" w:pos="9026"/>
            </w:tabs>
            <w:spacing w:before="120" w:after="60"/>
          </w:pPr>
          <w:r>
            <w:t>Chapter 26. Multi-Language Implementations</w:t>
          </w:r>
          <w:r>
            <w:tab/>
          </w:r>
          <w:r>
            <w:t>52</w:t>
          </w:r>
        </w:p>
        <w:p>
          <w:pPr>
            <w:pStyle w:val="11"/>
            <w:ind w:left="360"/>
            <w:tabs>
              <w:tab w:val="right" w:leader="dot" w:pos="9026"/>
            </w:tabs>
            <w:spacing w:before="120" w:after="60"/>
          </w:pPr>
          <w:r>
            <w:t>26.1. Why six implementations</w:t>
          </w:r>
          <w:r>
            <w:tab/>
          </w:r>
          <w:r>
            <w:t>52</w:t>
          </w:r>
        </w:p>
        <w:p>
          <w:pPr>
            <w:pStyle w:val="11"/>
            <w:ind w:left="360"/>
            <w:tabs>
              <w:tab w:val="right" w:leader="dot" w:pos="9026"/>
            </w:tabs>
            <w:spacing w:before="120" w:after="60"/>
          </w:pPr>
          <w:r>
            <w:t>26.2. Control files</w:t>
          </w:r>
          <w:r>
            <w:tab/>
          </w:r>
          <w:r>
            <w:t>53</w:t>
          </w:r>
        </w:p>
        <w:p>
          <w:pPr>
            <w:pStyle w:val="11"/>
            <w:ind w:left="360"/>
            <w:tabs>
              <w:tab w:val="right" w:leader="dot" w:pos="9026"/>
            </w:tabs>
            <w:spacing w:before="120" w:after="60"/>
          </w:pPr>
          <w:r>
            <w:t>26.3. Julia and Python: two science stacks</w:t>
          </w:r>
          <w:r>
            <w:tab/>
          </w:r>
          <w:r>
            <w:t>53</w:t>
          </w:r>
        </w:p>
        <w:p>
          <w:pPr>
            <w:pStyle w:val="9"/>
            <w:tabs>
              <w:tab w:val="right" w:leader="dot" w:pos="9026"/>
            </w:tabs>
            <w:spacing w:before="120" w:after="60"/>
          </w:pPr>
          <w:r>
            <w:t>Chapter 27. The Theorem Layer: Documentation as an Artifact</w:t>
          </w:r>
          <w:r>
            <w:tab/>
          </w:r>
          <w:r>
            <w:t>53</w:t>
          </w:r>
        </w:p>
        <w:p>
          <w:pPr>
            <w:pStyle w:val="11"/>
            <w:ind w:left="360"/>
            <w:tabs>
              <w:tab w:val="right" w:leader="dot" w:pos="9026"/>
            </w:tabs>
            <w:spacing w:before="120" w:after="60"/>
          </w:pPr>
          <w:r>
            <w:t>27.1. The structure of a theorem folder</w:t>
          </w:r>
          <w:r>
            <w:tab/>
          </w:r>
          <w:r>
            <w:t>53</w:t>
          </w:r>
        </w:p>
        <w:p>
          <w:pPr>
            <w:pStyle w:val="11"/>
            <w:ind w:left="360"/>
            <w:tabs>
              <w:tab w:val="right" w:leader="dot" w:pos="9026"/>
            </w:tabs>
            <w:spacing w:before="120" w:after="60"/>
          </w:pPr>
          <w:r>
            <w:t>27.2. The README as the first page of a proof</w:t>
          </w:r>
          <w:r>
            <w:tab/>
          </w:r>
          <w:r>
            <w:t>54</w:t>
          </w:r>
        </w:p>
        <w:p>
          <w:pPr>
            <w:pStyle w:val="11"/>
            <w:ind w:left="360"/>
            <w:tabs>
              <w:tab w:val="right" w:leader="dot" w:pos="9026"/>
            </w:tabs>
            <w:spacing w:before="120" w:after="60"/>
          </w:pPr>
          <w:r>
            <w:t>27.3. The four-dimension tiles</w:t>
          </w:r>
          <w:r>
            <w:tab/>
          </w:r>
          <w:r>
            <w:t>55</w:t>
          </w:r>
        </w:p>
        <w:p>
          <w:pPr>
            <w:pStyle w:val="9"/>
            <w:tabs>
              <w:tab w:val="right" w:leader="dot" w:pos="9026"/>
            </w:tabs>
            <w:spacing w:before="120" w:after="60"/>
          </w:pPr>
          <w:r>
            <w:t>Chapter 28. The White Paper, Glossary and Language Discipline</w:t>
          </w:r>
          <w:r>
            <w:tab/>
          </w:r>
          <w:r>
            <w:t>55</w:t>
          </w:r>
        </w:p>
        <w:p>
          <w:pPr>
            <w:pStyle w:val="11"/>
            <w:ind w:left="360"/>
            <w:tabs>
              <w:tab w:val="right" w:leader="dot" w:pos="9026"/>
            </w:tabs>
            <w:spacing w:before="120" w:after="60"/>
          </w:pPr>
          <w:r>
            <w:t>28.1. The white paper</w:t>
          </w:r>
          <w:r>
            <w:tab/>
          </w:r>
          <w:r>
            <w:t>56</w:t>
          </w:r>
        </w:p>
        <w:p>
          <w:pPr>
            <w:pStyle w:val="11"/>
            <w:ind w:left="360"/>
            <w:tabs>
              <w:tab w:val="right" w:leader="dot" w:pos="9026"/>
            </w:tabs>
            <w:spacing w:before="120" w:after="60"/>
          </w:pPr>
          <w:r>
            <w:t>28.2. The glossary</w:t>
          </w:r>
          <w:r>
            <w:tab/>
          </w:r>
          <w:r>
            <w:t>56</w:t>
          </w:r>
        </w:p>
        <w:p>
          <w:pPr>
            <w:pStyle w:val="11"/>
            <w:ind w:left="360"/>
            <w:tabs>
              <w:tab w:val="right" w:leader="dot" w:pos="9026"/>
            </w:tabs>
            <w:spacing w:before="120" w:after="60"/>
          </w:pPr>
          <w:r>
            <w:t>28.3. The language discipline</w:t>
          </w:r>
          <w:r>
            <w:tab/>
          </w:r>
          <w:r>
            <w:t>56</w:t>
          </w:r>
        </w:p>
        <w:p>
          <w:pPr>
            <w:pStyle w:val="9"/>
            <w:tabs>
              <w:tab w:val="right" w:leader="dot" w:pos="9026"/>
            </w:tabs>
            <w:spacing w:before="120" w:after="60"/>
          </w:pPr>
          <w:r>
            <w:t>Chapter 29. Class B in Practice: the Anatomy of the E18 Benchmark</w:t>
          </w:r>
          <w:r>
            <w:tab/>
          </w:r>
          <w:r>
            <w:t>56</w:t>
          </w:r>
        </w:p>
        <w:p>
          <w:pPr>
            <w:pStyle w:val="11"/>
            <w:ind w:left="360"/>
            <w:tabs>
              <w:tab w:val="right" w:leader="dot" w:pos="9026"/>
            </w:tabs>
            <w:spacing w:before="120" w:after="60"/>
          </w:pPr>
          <w:r>
            <w:t>29.1. Targets and baselines</w:t>
          </w:r>
          <w:r>
            <w:tab/>
          </w:r>
          <w:r>
            <w:t>57</w:t>
          </w:r>
        </w:p>
        <w:p>
          <w:pPr>
            <w:pStyle w:val="11"/>
            <w:ind w:left="360"/>
            <w:tabs>
              <w:tab w:val="right" w:leader="dot" w:pos="9026"/>
            </w:tabs>
            <w:spacing w:before="120" w:after="60"/>
          </w:pPr>
          <w:r>
            <w:t>29.2. The class and its meaning</w:t>
          </w:r>
          <w:r>
            <w:tab/>
          </w:r>
          <w:r>
            <w:t>57</w:t>
          </w:r>
        </w:p>
        <w:p>
          <w:pPr>
            <w:pStyle w:val="11"/>
            <w:ind w:left="360"/>
            <w:tabs>
              <w:tab w:val="right" w:leader="dot" w:pos="9026"/>
            </w:tabs>
            <w:spacing w:before="120" w:after="60"/>
          </w:pPr>
          <w:r>
            <w:t>29.3. Replication and significance</w:t>
          </w:r>
          <w:r>
            <w:tab/>
          </w:r>
          <w:r>
            <w:t>57</w:t>
          </w:r>
        </w:p>
        <w:p>
          <w:pPr>
            <w:pStyle w:val="9"/>
            <w:tabs>
              <w:tab w:val="right" w:leader="dot" w:pos="9026"/>
            </w:tabs>
            <w:spacing w:before="120" w:after="60"/>
          </w:pPr>
          <w:r>
            <w:t>Chapter 30. The Theorems in Detail: Th1–Th6</w:t>
          </w:r>
          <w:r>
            <w:tab/>
          </w:r>
          <w:r>
            <w:t>58</w:t>
          </w:r>
        </w:p>
        <w:p>
          <w:pPr>
            <w:pStyle w:val="11"/>
            <w:ind w:left="360"/>
            <w:tabs>
              <w:tab w:val="right" w:leader="dot" w:pos="9026"/>
            </w:tabs>
            <w:spacing w:before="120" w:after="60"/>
          </w:pPr>
          <w:r>
            <w:t>30.1. Th1: Hermiticity and symmetry (V4)</w:t>
          </w:r>
          <w:r>
            <w:tab/>
          </w:r>
          <w:r>
            <w:t>58</w:t>
          </w:r>
        </w:p>
        <w:p>
          <w:pPr>
            <w:pStyle w:val="11"/>
            <w:ind w:left="360"/>
            <w:tabs>
              <w:tab w:val="right" w:leader="dot" w:pos="9026"/>
            </w:tabs>
            <w:spacing w:before="120" w:after="60"/>
          </w:pPr>
          <w:r>
            <w:t>30.2. Th2: self-adjointness and unitary dynamics (V8)</w:t>
          </w:r>
          <w:r>
            <w:tab/>
          </w:r>
          <w:r>
            <w:t>58</w:t>
          </w:r>
        </w:p>
        <w:p>
          <w:pPr>
            <w:pStyle w:val="11"/>
            <w:ind w:left="360"/>
            <w:tabs>
              <w:tab w:val="right" w:leader="dot" w:pos="9026"/>
            </w:tabs>
            <w:spacing w:before="120" w:after="60"/>
          </w:pPr>
          <w:r>
            <w:t>30.3. Th3: Kato certificates (V12)</w:t>
          </w:r>
          <w:r>
            <w:tab/>
          </w:r>
          <w:r>
            <w:t>58</w:t>
          </w:r>
        </w:p>
        <w:p>
          <w:pPr>
            <w:pStyle w:val="11"/>
            <w:ind w:left="360"/>
            <w:tabs>
              <w:tab w:val="right" w:leader="dot" w:pos="9026"/>
            </w:tabs>
            <w:spacing w:before="120" w:after="60"/>
          </w:pPr>
          <w:r>
            <w:t>30.4. Th4: the Li formula (V15)</w:t>
          </w:r>
          <w:r>
            <w:tab/>
          </w:r>
          <w:r>
            <w:t>59</w:t>
          </w:r>
        </w:p>
        <w:p>
          <w:pPr>
            <w:pStyle w:val="11"/>
            <w:ind w:left="360"/>
            <w:tabs>
              <w:tab w:val="right" w:leader="dot" w:pos="9026"/>
            </w:tabs>
            <w:spacing w:before="120" w:after="60"/>
          </w:pPr>
          <w:r>
            <w:t>30.5. Th5: block reduction (V9)</w:t>
          </w:r>
          <w:r>
            <w:tab/>
          </w:r>
          <w:r>
            <w:t>59</w:t>
          </w:r>
        </w:p>
        <w:p>
          <w:pPr>
            <w:pStyle w:val="11"/>
            <w:ind w:left="360"/>
            <w:tabs>
              <w:tab w:val="right" w:leader="dot" w:pos="9026"/>
            </w:tabs>
            <w:spacing w:before="120" w:after="60"/>
          </w:pPr>
          <w:r>
            <w:t>30.6. Th6: the trace carries the primes (V7)</w:t>
          </w:r>
          <w:r>
            <w:tab/>
          </w:r>
          <w:r>
            <w:t>59</w:t>
          </w:r>
        </w:p>
        <w:p>
          <w:pPr>
            <w:pStyle w:val="9"/>
            <w:tabs>
              <w:tab w:val="right" w:leader="dot" w:pos="9026"/>
            </w:tabs>
            <w:spacing w:before="120" w:after="60"/>
          </w:pPr>
          <w:r>
            <w:t>Chapter 31. The Spinor Theorems in Detail: TS1–TS3</w:t>
          </w:r>
          <w:r>
            <w:tab/>
          </w:r>
          <w:r>
            <w:t>60</w:t>
          </w:r>
        </w:p>
        <w:p>
          <w:pPr>
            <w:pStyle w:val="11"/>
            <w:ind w:left="360"/>
            <w:tabs>
              <w:tab w:val="right" w:leader="dot" w:pos="9026"/>
            </w:tabs>
            <w:spacing w:before="120" w:after="60"/>
          </w:pPr>
          <w:r>
            <w:t>31.1. TS1: closure of phase cycles (ES1)</w:t>
          </w:r>
          <w:r>
            <w:tab/>
          </w:r>
          <w:r>
            <w:t>60</w:t>
          </w:r>
        </w:p>
        <w:p>
          <w:pPr>
            <w:pStyle w:val="11"/>
            <w:ind w:left="360"/>
            <w:tabs>
              <w:tab w:val="right" w:leader="dot" w:pos="9026"/>
            </w:tabs>
            <w:spacing w:before="120" w:after="60"/>
          </w:pPr>
          <w:r>
            <w:t>31.2. TS2: irreversibility of reset (ES2)</w:t>
          </w:r>
          <w:r>
            <w:tab/>
          </w:r>
          <w:r>
            <w:t>60</w:t>
          </w:r>
        </w:p>
        <w:p>
          <w:pPr>
            <w:pStyle w:val="11"/>
            <w:ind w:left="360"/>
            <w:tabs>
              <w:tab w:val="right" w:leader="dot" w:pos="9026"/>
            </w:tabs>
            <w:spacing w:before="120" w:after="60"/>
          </w:pPr>
          <w:r>
            <w:t>31.3. TS3: O(1) steps versus the Ω(t) log (ES3)</w:t>
          </w:r>
          <w:r>
            <w:tab/>
          </w:r>
          <w:r>
            <w:t>60</w:t>
          </w:r>
        </w:p>
        <w:p>
          <w:pPr>
            <w:pStyle w:val="9"/>
            <w:tabs>
              <w:tab w:val="right" w:leader="dot" w:pos="9026"/>
            </w:tabs>
            <w:spacing w:before="120" w:after="60"/>
          </w:pPr>
          <w:r>
            <w:t>Chapter 32. The Timeline: How the Program Reached Its Result</w:t>
          </w:r>
          <w:r>
            <w:tab/>
          </w:r>
          <w:r>
            <w:t>61</w:t>
          </w:r>
        </w:p>
        <w:p>
          <w:pPr>
            <w:pStyle w:val="11"/>
            <w:ind w:left="360"/>
            <w:tabs>
              <w:tab w:val="right" w:leader="dot" w:pos="9026"/>
            </w:tabs>
            <w:spacing w:before="120" w:after="60"/>
          </w:pPr>
          <w:r>
            <w:t>32.1. Wave 1: construction and its boundaries (V01–V06)</w:t>
          </w:r>
          <w:r>
            <w:tab/>
          </w:r>
          <w:r>
            <w:t>61</w:t>
          </w:r>
        </w:p>
        <w:p>
          <w:pPr>
            <w:pStyle w:val="11"/>
            <w:ind w:left="360"/>
            <w:tabs>
              <w:tab w:val="right" w:leader="dot" w:pos="9026"/>
            </w:tabs>
            <w:spacing w:before="120" w:after="60"/>
          </w:pPr>
          <w:r>
            <w:t>32.2. Wave 2: arithmetic and trust (V07–V14)</w:t>
          </w:r>
          <w:r>
            <w:tab/>
          </w:r>
          <w:r>
            <w:t>61</w:t>
          </w:r>
        </w:p>
        <w:p>
          <w:pPr>
            <w:pStyle w:val="11"/>
            <w:ind w:left="360"/>
            <w:tabs>
              <w:tab w:val="right" w:leader="dot" w:pos="9026"/>
            </w:tabs>
            <w:spacing w:before="120" w:after="60"/>
          </w:pPr>
          <w:r>
            <w:t>32.3. Wave 3: behaviour and stitching (V15–V19)</w:t>
          </w:r>
          <w:r>
            <w:tab/>
          </w:r>
          <w:r>
            <w:t>62</w:t>
          </w:r>
        </w:p>
        <w:p>
          <w:pPr>
            <w:pStyle w:val="11"/>
            <w:ind w:left="360"/>
            <w:tabs>
              <w:tab w:val="right" w:leader="dot" w:pos="9026"/>
            </w:tabs>
            <w:spacing w:before="120" w:after="60"/>
          </w:pPr>
          <w:r>
            <w:t>32.4. Wave 4: processor and verification (V20, E01–E18)</w:t>
          </w:r>
          <w:r>
            <w:tab/>
          </w:r>
          <w:r>
            <w:t>62</w:t>
          </w:r>
        </w:p>
        <w:p>
          <w:pPr>
            <w:pStyle w:val="11"/>
            <w:ind w:left="360"/>
            <w:tabs>
              <w:tab w:val="right" w:leader="dot" w:pos="9026"/>
            </w:tabs>
            <w:spacing w:before="120" w:after="60"/>
          </w:pPr>
          <w:r>
            <w:t>32.5. Wave 5: volatility (ES1–ES5)</w:t>
          </w:r>
          <w:r>
            <w:tab/>
          </w:r>
          <w:r>
            <w:t>62</w:t>
          </w:r>
        </w:p>
        <w:p>
          <w:pPr>
            <w:pStyle w:val="9"/>
            <w:tabs>
              <w:tab w:val="right" w:leader="dot" w:pos="9026"/>
            </w:tabs>
            <w:spacing w:before="120" w:after="60"/>
          </w:pPr>
          <w:r>
            <w:t>Chapter 33. Reproducibility Pipelines</w:t>
          </w:r>
          <w:r>
            <w:tab/>
          </w:r>
          <w:r>
            <w:t>63</w:t>
          </w:r>
        </w:p>
        <w:p>
          <w:pPr>
            <w:pStyle w:val="11"/>
            <w:ind w:left="360"/>
            <w:tabs>
              <w:tab w:val="right" w:leader="dot" w:pos="9026"/>
            </w:tabs>
            <w:spacing w:before="120" w:after="60"/>
          </w:pPr>
          <w:r>
            <w:t>33.1. The pipeline map</w:t>
          </w:r>
          <w:r>
            <w:tab/>
          </w:r>
          <w:r>
            <w:t>63</w:t>
          </w:r>
        </w:p>
        <w:p>
          <w:pPr>
            <w:pStyle w:val="11"/>
            <w:ind w:left="360"/>
            <w:tabs>
              <w:tab w:val="right" w:leader="dot" w:pos="9026"/>
            </w:tabs>
            <w:spacing w:before="120" w:after="60"/>
          </w:pPr>
          <w:r>
            <w:t>33.2. The rebuild order</w:t>
          </w:r>
          <w:r>
            <w:tab/>
          </w:r>
          <w:r>
            <w:t>63</w:t>
          </w:r>
        </w:p>
        <w:p>
          <w:pPr>
            <w:pStyle w:val="11"/>
            <w:ind w:left="360"/>
            <w:tabs>
              <w:tab w:val="right" w:leader="dot" w:pos="9026"/>
            </w:tabs>
            <w:spacing w:before="120" w:after="60"/>
          </w:pPr>
          <w:r>
            <w:t>33.3. CI and the Makefile</w:t>
          </w:r>
          <w:r>
            <w:tab/>
          </w:r>
          <w:r>
            <w:t>63</w:t>
          </w:r>
        </w:p>
        <w:p>
          <w:pPr>
            <w:pStyle w:val="9"/>
            <w:tabs>
              <w:tab w:val="right" w:leader="dot" w:pos="9026"/>
            </w:tabs>
            <w:spacing w:before="120" w:after="60"/>
          </w:pPr>
          <w:r>
            <w:t>Chapter 34. The Anatomy of a Verdict File</w:t>
          </w:r>
          <w:r>
            <w:tab/>
          </w:r>
          <w:r>
            <w:t>64</w:t>
          </w:r>
        </w:p>
        <w:p>
          <w:pPr>
            <w:pStyle w:val="11"/>
            <w:ind w:left="360"/>
            <w:tabs>
              <w:tab w:val="right" w:leader="dot" w:pos="9026"/>
            </w:tabs>
            <w:spacing w:before="120" w:after="60"/>
          </w:pPr>
          <w:r>
            <w:t>34.1. Mandatory fields</w:t>
          </w:r>
          <w:r>
            <w:tab/>
          </w:r>
          <w:r>
            <w:t>64</w:t>
          </w:r>
        </w:p>
        <w:p>
          <w:pPr>
            <w:pStyle w:val="11"/>
            <w:ind w:left="360"/>
            <w:tabs>
              <w:tab w:val="right" w:leader="dot" w:pos="9026"/>
            </w:tabs>
            <w:spacing w:before="120" w:after="60"/>
          </w:pPr>
          <w:r>
            <w:t>34.2. The does_not_prove discipline</w:t>
          </w:r>
          <w:r>
            <w:tab/>
          </w:r>
          <w:r>
            <w:t>64</w:t>
          </w:r>
        </w:p>
        <w:p>
          <w:pPr>
            <w:pStyle w:val="11"/>
            <w:ind w:left="360"/>
            <w:tabs>
              <w:tab w:val="right" w:leader="dot" w:pos="9026"/>
            </w:tabs>
            <w:spacing w:before="120" w:after="60"/>
          </w:pPr>
          <w:r>
            <w:t>34.3. Consistency checking</w:t>
          </w:r>
          <w:r>
            <w:tab/>
          </w:r>
          <w:r>
            <w:t>65</w:t>
          </w:r>
        </w:p>
        <w:p>
          <w:pPr>
            <w:pStyle w:val="9"/>
            <w:tabs>
              <w:tab w:val="right" w:leader="dot" w:pos="9026"/>
            </w:tabs>
            <w:spacing w:before="120" w:after="60"/>
          </w:pPr>
          <w:r>
            <w:t>Chapter 35. The Classical Context: From Hilbert–Pólya to the Explicit Formula</w:t>
          </w:r>
          <w:r>
            <w:tab/>
          </w:r>
          <w:r>
            <w:t>65</w:t>
          </w:r>
        </w:p>
        <w:p>
          <w:pPr>
            <w:pStyle w:val="11"/>
            <w:ind w:left="360"/>
            <w:tabs>
              <w:tab w:val="right" w:leader="dot" w:pos="9026"/>
            </w:tabs>
            <w:spacing w:before="120" w:after="60"/>
          </w:pPr>
          <w:r>
            <w:t>35.1. The Hilbert–Pólya idea</w:t>
          </w:r>
          <w:r>
            <w:tab/>
          </w:r>
          <w:r>
            <w:t>65</w:t>
          </w:r>
        </w:p>
        <w:p>
          <w:pPr>
            <w:pStyle w:val="11"/>
            <w:ind w:left="360"/>
            <w:tabs>
              <w:tab w:val="right" w:leader="dot" w:pos="9026"/>
            </w:tabs>
            <w:spacing w:before="120" w:after="60"/>
          </w:pPr>
          <w:r>
            <w:t>35.2. The explicit formula and the trace formula</w:t>
          </w:r>
          <w:r>
            <w:tab/>
          </w:r>
          <w:r>
            <w:t>66</w:t>
          </w:r>
        </w:p>
        <w:p>
          <w:pPr>
            <w:pStyle w:val="11"/>
            <w:ind w:left="360"/>
            <w:tabs>
              <w:tab w:val="right" w:leader="dot" w:pos="9026"/>
            </w:tabs>
            <w:spacing w:before="120" w:after="60"/>
          </w:pPr>
          <w:r>
            <w:t>35.3. Montgomery–Odlyzko and GUE</w:t>
          </w:r>
          <w:r>
            <w:tab/>
          </w:r>
          <w:r>
            <w:t>66</w:t>
          </w:r>
        </w:p>
        <w:p>
          <w:pPr>
            <w:pStyle w:val="9"/>
            <w:tabs>
              <w:tab w:val="right" w:leader="dot" w:pos="9026"/>
            </w:tabs>
            <w:spacing w:before="120" w:after="60"/>
          </w:pPr>
          <w:r>
            <w:t>Chapter 36. The Roadmaps in Detail</w:t>
          </w:r>
          <w:r>
            <w:tab/>
          </w:r>
          <w:r>
            <w:t>67</w:t>
          </w:r>
        </w:p>
        <w:p>
          <w:pPr>
            <w:pStyle w:val="11"/>
            <w:ind w:left="360"/>
            <w:tabs>
              <w:tab w:val="right" w:leader="dot" w:pos="9026"/>
            </w:tabs>
            <w:spacing w:before="120" w:after="60"/>
          </w:pPr>
          <w:r>
            <w:t>36.1. The core (R2): the stitching remainder and monodromy</w:t>
          </w:r>
          <w:r>
            <w:tab/>
          </w:r>
          <w:r>
            <w:t>67</w:t>
          </w:r>
        </w:p>
        <w:p>
          <w:pPr>
            <w:pStyle w:val="11"/>
            <w:ind w:left="360"/>
            <w:tabs>
              <w:tab w:val="right" w:leader="dot" w:pos="9026"/>
            </w:tabs>
            <w:spacing w:before="120" w:after="60"/>
          </w:pPr>
          <w:r>
            <w:t>36.2. The processor (P0–P6): the path to the passport</w:t>
          </w:r>
          <w:r>
            <w:tab/>
          </w:r>
          <w:r>
            <w:t>67</w:t>
          </w:r>
        </w:p>
        <w:p>
          <w:pPr>
            <w:pStyle w:val="11"/>
            <w:ind w:left="360"/>
            <w:tabs>
              <w:tab w:val="right" w:leader="dot" w:pos="9026"/>
            </w:tabs>
            <w:spacing w:before="120" w:after="60"/>
          </w:pPr>
          <w:r>
            <w:t>36.3. Verification (O-J): from heights to the twin</w:t>
          </w:r>
          <w:r>
            <w:tab/>
          </w:r>
          <w:r>
            <w:t>67</w:t>
          </w:r>
        </w:p>
        <w:p>
          <w:pPr>
            <w:pStyle w:val="11"/>
            <w:ind w:left="360"/>
            <w:tabs>
              <w:tab w:val="right" w:leader="dot" w:pos="9026"/>
            </w:tabs>
            <w:spacing w:before="120" w:after="60"/>
          </w:pPr>
          <w:r>
            <w:t>36.4. The spinor study: extending the phases</w:t>
          </w:r>
          <w:r>
            <w:tab/>
          </w:r>
          <w:r>
            <w:t>68</w:t>
          </w:r>
        </w:p>
        <w:p>
          <w:pPr>
            <w:pStyle w:val="9"/>
            <w:tabs>
              <w:tab w:val="right" w:leader="dot" w:pos="9026"/>
            </w:tabs>
            <w:spacing w:before="120" w:after="60"/>
          </w:pPr>
          <w:r>
            <w:t>Chapter 37. Frequently Asked Questions</w:t>
          </w:r>
          <w:r>
            <w:tab/>
          </w:r>
          <w:r>
            <w:t>68</w:t>
          </w:r>
        </w:p>
        <w:p>
          <w:pPr>
            <w:pStyle w:val="11"/>
            <w:ind w:left="360"/>
            <w:tabs>
              <w:tab w:val="right" w:leader="dot" w:pos="9026"/>
            </w:tabs>
            <w:spacing w:before="120" w:after="60"/>
          </w:pPr>
          <w:r>
            <w:t>37.1. Status questions</w:t>
          </w:r>
          <w:r>
            <w:tab/>
          </w:r>
          <w:r>
            <w:t>68</w:t>
          </w:r>
        </w:p>
        <w:p>
          <w:pPr>
            <w:pStyle w:val="11"/>
            <w:ind w:left="360"/>
            <w:tabs>
              <w:tab w:val="right" w:leader="dot" w:pos="9026"/>
            </w:tabs>
            <w:spacing w:before="120" w:after="60"/>
          </w:pPr>
          <w:r>
            <w:t>37.2. Technology questions</w:t>
          </w:r>
          <w:r>
            <w:tab/>
          </w:r>
          <w:r>
            <w:t>69</w:t>
          </w:r>
        </w:p>
        <w:p>
          <w:pPr>
            <w:pStyle w:val="11"/>
            <w:ind w:left="360"/>
            <w:tabs>
              <w:tab w:val="right" w:leader="dot" w:pos="9026"/>
            </w:tabs>
            <w:spacing w:before="120" w:after="60"/>
          </w:pPr>
          <w:r>
            <w:t>37.3. Practical questions</w:t>
          </w:r>
          <w:r>
            <w:tab/>
          </w:r>
          <w:r>
            <w:t>69</w:t>
          </w:r>
        </w:p>
        <w:p>
          <w:pPr>
            <w:pStyle w:val="9"/>
            <w:tabs>
              <w:tab w:val="right" w:leader="dot" w:pos="9026"/>
            </w:tabs>
            <w:spacing w:before="120" w:after="60"/>
          </w:pPr>
          <w:r>
            <w:t>Chapter 38. Contribution, Ethics and License</w:t>
          </w:r>
          <w:r>
            <w:tab/>
          </w:r>
          <w:r>
            <w:t>70</w:t>
          </w:r>
        </w:p>
        <w:p>
          <w:pPr>
            <w:pStyle w:val="11"/>
            <w:ind w:left="360"/>
            <w:tabs>
              <w:tab w:val="right" w:leader="dot" w:pos="9026"/>
            </w:tabs>
            <w:spacing w:before="120" w:after="60"/>
          </w:pPr>
          <w:r>
            <w:t>38.1. How to participate</w:t>
          </w:r>
          <w:r>
            <w:tab/>
          </w:r>
          <w:r>
            <w:t>70</w:t>
          </w:r>
        </w:p>
        <w:p>
          <w:pPr>
            <w:pStyle w:val="11"/>
            <w:ind w:left="360"/>
            <w:tabs>
              <w:tab w:val="right" w:leader="dot" w:pos="9026"/>
            </w:tabs>
            <w:spacing w:before="120" w:after="60"/>
          </w:pPr>
          <w:r>
            <w:t>38.2. The ethics of reproduction</w:t>
          </w:r>
          <w:r>
            <w:tab/>
          </w:r>
          <w:r>
            <w:t>71</w:t>
          </w:r>
        </w:p>
        <w:p>
          <w:pPr>
            <w:pStyle w:val="11"/>
            <w:ind w:left="360"/>
            <w:tabs>
              <w:tab w:val="right" w:leader="dot" w:pos="9026"/>
            </w:tabs>
            <w:spacing w:before="120" w:after="60"/>
          </w:pPr>
          <w:r>
            <w:t>38.3. The license</w:t>
          </w:r>
          <w:r>
            <w:tab/>
          </w:r>
          <w:r>
            <w:t>71</w:t>
          </w:r>
        </w:p>
        <w:p>
          <w:pPr>
            <w:pStyle w:val="9"/>
            <w:tabs>
              <w:tab w:val="right" w:leader="dot" w:pos="9026"/>
            </w:tabs>
            <w:spacing w:before="120" w:after="60"/>
          </w:pPr>
          <w:r>
            <w:t>Chapter 39. Practicum: Ten Steps Through the Program</w:t>
          </w:r>
          <w:r>
            <w:tab/>
          </w:r>
          <w:r>
            <w:t>71</w:t>
          </w:r>
        </w:p>
        <w:p>
          <w:pPr>
            <w:pStyle w:val="11"/>
            <w:ind w:left="360"/>
            <w:tabs>
              <w:tab w:val="right" w:leader="dot" w:pos="9026"/>
            </w:tabs>
            <w:spacing w:before="120" w:after="60"/>
          </w:pPr>
          <w:r>
            <w:t>39.1. Steps 1–5: verify and see</w:t>
          </w:r>
          <w:r>
            <w:tab/>
          </w:r>
          <w:r>
            <w:t>71</w:t>
          </w:r>
        </w:p>
        <w:p>
          <w:pPr>
            <w:pStyle w:val="11"/>
            <w:ind w:left="360"/>
            <w:tabs>
              <w:tab w:val="right" w:leader="dot" w:pos="9026"/>
            </w:tabs>
            <w:spacing w:before="120" w:after="60"/>
          </w:pPr>
          <w:r>
            <w:t>39.2. Steps 6–10: rebuild and test yourself</w:t>
          </w:r>
          <w:r>
            <w:tab/>
          </w:r>
          <w:r>
            <w:t>72</w:t>
          </w:r>
        </w:p>
        <w:p>
          <w:pPr>
            <w:pStyle w:val="11"/>
            <w:ind w:left="360"/>
            <w:tabs>
              <w:tab w:val="right" w:leader="dot" w:pos="9026"/>
            </w:tabs>
            <w:spacing w:before="120" w:after="60"/>
          </w:pPr>
          <w:r>
            <w:t>39.3. If something disagrees</w:t>
          </w:r>
          <w:r>
            <w:tab/>
          </w:r>
          <w:r>
            <w:t>73</w:t>
          </w:r>
        </w:p>
        <w:p>
          <w:pPr>
            <w:pStyle w:val="9"/>
            <w:tabs>
              <w:tab w:val="right" w:leader="dot" w:pos="9026"/>
            </w:tabs>
            <w:spacing w:before="120" w:after="60"/>
          </w:pPr>
          <w:r>
            <w:t>Chapter 40. The Thematic Index</w:t>
          </w:r>
          <w:r>
            <w:tab/>
          </w:r>
          <w:r>
            <w:t>73</w:t>
          </w:r>
        </w:p>
        <w:p>
          <w:pPr>
            <w:pStyle w:val="9"/>
            <w:tabs>
              <w:tab w:val="right" w:leader="dot" w:pos="9026"/>
            </w:tabs>
            <w:spacing w:before="120" w:after="60"/>
          </w:pPr>
          <w:r>
            <w:t>Chapter 41. The Tile Gallery</w:t>
          </w:r>
          <w:r>
            <w:tab/>
          </w:r>
          <w:r>
            <w:t>74</w:t>
          </w:r>
        </w:p>
        <w:p>
          <w:pPr>
            <w:pStyle w:val="9"/>
            <w:tabs>
              <w:tab w:val="right" w:leader="dot" w:pos="9026"/>
            </w:tabs>
            <w:spacing w:before="120" w:after="60"/>
          </w:pPr>
          <w:r>
            <w:t>Chapter 42. The Limits of the Method: What the Program Cannot Do</w:t>
          </w:r>
          <w:r>
            <w:tab/>
          </w:r>
          <w:r>
            <w:t>76</w:t>
          </w:r>
        </w:p>
        <w:p>
          <w:pPr>
            <w:pStyle w:val="11"/>
            <w:ind w:left="360"/>
            <w:tabs>
              <w:tab w:val="right" w:leader="dot" w:pos="9026"/>
            </w:tabs>
            <w:spacing w:before="120" w:after="60"/>
          </w:pPr>
          <w:r>
            <w:t>42.1. Fundamental limitations</w:t>
          </w:r>
          <w:r>
            <w:tab/>
          </w:r>
          <w:r>
            <w:t>77</w:t>
          </w:r>
        </w:p>
        <w:p>
          <w:pPr>
            <w:pStyle w:val="11"/>
            <w:ind w:left="360"/>
            <w:tabs>
              <w:tab w:val="right" w:leader="dot" w:pos="9026"/>
            </w:tabs>
            <w:spacing w:before="120" w:after="60"/>
          </w:pPr>
          <w:r>
            <w:t>42.2. Technical limitations</w:t>
          </w:r>
          <w:r>
            <w:tab/>
          </w:r>
          <w:r>
            <w:t>77</w:t>
          </w:r>
        </w:p>
        <w:p>
          <w:pPr>
            <w:pStyle w:val="11"/>
            <w:ind w:left="360"/>
            <w:tabs>
              <w:tab w:val="right" w:leader="dot" w:pos="9026"/>
            </w:tabs>
            <w:spacing w:before="120" w:after="60"/>
          </w:pPr>
          <w:r>
            <w:t>42.3. Disciplinary limitations</w:t>
          </w:r>
          <w:r>
            <w:tab/>
          </w:r>
          <w:r>
            <w:t>78</w:t>
          </w:r>
        </w:p>
        <w:p>
          <w:pPr>
            <w:pStyle w:val="9"/>
            <w:tabs>
              <w:tab w:val="right" w:leader="dot" w:pos="9026"/>
            </w:tabs>
            <w:spacing w:before="120" w:after="60"/>
          </w:pPr>
          <w:r>
            <w:t>Chapter 43. The Level Figures Gallery</w:t>
          </w:r>
          <w:r>
            <w:tab/>
          </w:r>
          <w:r>
            <w:t>78</w:t>
          </w:r>
        </w:p>
        <w:p>
          <w:pPr>
            <w:pStyle w:val="9"/>
            <w:tabs>
              <w:tab w:val="right" w:leader="dot" w:pos="9026"/>
            </w:tabs>
            <w:spacing w:before="120" w:after="60"/>
          </w:pPr>
          <w:r>
            <w:t>Part VII. Level Research Programs</w:t>
          </w:r>
          <w:r>
            <w:tab/>
          </w:r>
          <w:r>
            <w:t>81</w:t>
          </w:r>
        </w:p>
        <w:p>
          <w:pPr>
            <w:pStyle w:val="9"/>
            <w:tabs>
              <w:tab w:val="right" w:leader="dot" w:pos="9026"/>
            </w:tabs>
            <w:spacing w:before="120" w:after="60"/>
          </w:pPr>
          <w:r>
            <w:t>Part VIII. Level Verdict Summaries</w:t>
          </w:r>
          <w:r>
            <w:tab/>
          </w:r>
          <w:r>
            <w:t>81</w:t>
          </w:r>
        </w:p>
        <w:p>
          <w:pPr>
            <w:pStyle w:val="9"/>
            <w:tabs>
              <w:tab w:val="right" w:leader="dot" w:pos="9026"/>
            </w:tabs>
            <w:spacing w:before="120" w:after="60"/>
          </w:pPr>
          <w:r>
            <w:t>Appendix A. The Full Table of 43 Campaigns</w:t>
          </w:r>
          <w:r>
            <w:tab/>
          </w:r>
          <w:r>
            <w:t>82</w:t>
          </w:r>
        </w:p>
        <w:p>
          <w:pPr>
            <w:pStyle w:val="9"/>
            <w:tabs>
              <w:tab w:val="right" w:leader="dot" w:pos="9026"/>
            </w:tabs>
            <w:spacing w:before="120" w:after="60"/>
          </w:pPr>
          <w:r>
            <w:t>Appendix B. Flagship Numbers</w:t>
          </w:r>
          <w:r>
            <w:tab/>
          </w:r>
          <w:r>
            <w:t>82</w:t>
          </w:r>
        </w:p>
        <w:p>
          <w:pPr>
            <w:pStyle w:val="9"/>
            <w:tabs>
              <w:tab w:val="right" w:leader="dot" w:pos="9026"/>
            </w:tabs>
            <w:spacing w:before="120" w:after="60"/>
          </w:pPr>
          <w:r>
            <w:t>Appendix C. Theorem Summary</w:t>
          </w:r>
          <w:r>
            <w:tab/>
          </w:r>
          <w:r>
            <w:t>83</w:t>
          </w:r>
        </w:p>
        <w:p>
          <w:pPr>
            <w:pStyle w:val="9"/>
            <w:tabs>
              <w:tab w:val="right" w:leader="dot" w:pos="9026"/>
            </w:tabs>
            <w:spacing w:before="120" w:after="60"/>
          </w:pPr>
          <w:r>
            <w:t>Appendix D. Glossary (Selected)</w:t>
          </w:r>
          <w:r>
            <w:tab/>
          </w:r>
          <w:r>
            <w:t>83</w:t>
          </w:r>
        </w:p>
        <w:p>
          <w:pPr>
            <w:pStyle w:val="9"/>
            <w:tabs>
              <w:tab w:val="right" w:leader="dot" w:pos="9026"/>
            </w:tabs>
            <w:spacing w:before="120" w:after="60"/>
          </w:pPr>
          <w:r>
            <w:t>Appendix E. The File Map of the Program</w:t>
          </w:r>
          <w:r>
            <w:tab/>
          </w:r>
          <w:r>
            <w:t>84</w:t>
          </w:r>
        </w:p>
        <w:p>
          <w:pPr>
            <w:pStyle w:val="9"/>
            <w:tabs>
              <w:tab w:val="right" w:leader="dot" w:pos="9026"/>
            </w:tabs>
            <w:spacing w:before="120" w:after="60"/>
          </w:pPr>
          <w:r>
            <w:t>Appendix F. Citation and License</w:t>
          </w:r>
          <w:r>
            <w:tab/>
          </w:r>
          <w:r>
            <w:t>85</w:t>
          </w:r>
        </w:p>
        <w:p>
          <w:pPr>
            <w:pStyle w:val="9"/>
            <w:tabs>
              <w:tab w:val="right" w:leader="dot" w:pos="9026"/>
            </w:tabs>
            <w:spacing w:before="120" w:after="60"/>
          </w:pPr>
          <w:r>
            <w:t>Appendix G. Integrity: Pins and Checks</w:t>
          </w:r>
          <w:r>
            <w:tab/>
          </w:r>
          <w:r>
            <w:t>87</w:t>
          </w:r>
        </w:p>
        <w:p>
          <w:pPr>
            <w:pStyle w:val="9"/>
            <w:tabs>
              <w:tab w:val="right" w:leader="dot" w:pos="9026"/>
            </w:tabs>
            <w:spacing w:before="120" w:after="60"/>
          </w:pPr>
          <w:r>
            <w:t>Appendix H. The Full Glossary</w:t>
          </w:r>
          <w:r>
            <w:tab/>
          </w:r>
          <w:r>
            <w:t>88</w:t>
          </w:r>
        </w:p>
        <w:p>
          <w:pPr>
            <w:pStyle w:val="9"/>
            <w:tabs>
              <w:tab w:val="right" w:leader="dot" w:pos="9026"/>
            </w:tabs>
            <w:spacing w:before="120" w:after="60"/>
          </w:pPr>
          <w:r>
            <w:t>Appendix I. Protocols and Thresholds of the Campaigns</w:t>
          </w:r>
          <w:r>
            <w:tab/>
          </w:r>
          <w:r>
            <w:t>88</w:t>
          </w:r>
        </w:p>
        <w:p>
          <w:pPr>
            <w:pStyle w:val="9"/>
            <w:tabs>
              <w:tab w:val="right" w:leader="dot" w:pos="9026"/>
            </w:tabs>
            <w:spacing w:before="120" w:after="60"/>
          </w:pPr>
          <w:r>
            <w:t>Appendix J. Package Inventory</w:t>
          </w:r>
          <w:r>
            <w:tab/>
          </w:r>
          <w:r>
            <w:t>88</w:t>
          </w:r>
        </w:p>
        <w:p>
          <w:pPr>
            <w:pStyle w:val="9"/>
            <w:tabs>
              <w:tab w:val="right" w:leader="dot" w:pos="9026"/>
            </w:tabs>
            <w:spacing w:before="120" w:after="60"/>
          </w:pPr>
          <w:r>
            <w:t>Appendix K. The Laboratory Hypothesis Template</w:t>
          </w:r>
          <w:r>
            <w:tab/>
          </w:r>
          <w:r>
            <w:t>89</w:t>
          </w:r>
        </w:p>
        <w:p>
          <w:pPr>
            <w:pStyle w:val="9"/>
            <w:tabs>
              <w:tab w:val="right" w:leader="dot" w:pos="9026"/>
            </w:tabs>
            <w:spacing w:before="120" w:after="60"/>
          </w:pPr>
          <w:r>
            <w:t>Appendix L. Verdict Excerpts</w:t>
          </w:r>
          <w:r>
            <w:tab/>
          </w:r>
          <w:r>
            <w:t>91</w:t>
          </w:r>
        </w:p>
        <w:p>
          <w:pPr>
            <w:pStyle w:val="9"/>
            <w:tabs>
              <w:tab w:val="right" w:leader="dot" w:pos="9026"/>
            </w:tabs>
            <w:spacing w:before="120" w:after="60"/>
          </w:pPr>
          <w:r>
            <w:t>Appendix M. A Sample Integrity Report</w:t>
          </w:r>
          <w:r>
            <w:tab/>
          </w:r>
          <w:r>
            <w:t>94</w:t>
          </w:r>
        </w:p>
        <w:p>
          <w:pPr>
            <w:pStyle w:val="9"/>
            <w:tabs>
              <w:tab w:val="right" w:leader="dot" w:pos="9026"/>
            </w:tabs>
            <w:spacing w:before="120" w:after="60"/>
          </w:pPr>
          <w:r>
            <w:t>Appendix N. Quick Start by Level</w:t>
          </w:r>
          <w:r>
            <w:tab/>
          </w:r>
          <w:r>
            <w:t>96</w:t>
          </w:r>
        </w:p>
        <w:p>
          <w:pPr>
            <w:pStyle w:val="9"/>
            <w:tabs>
              <w:tab w:val="right" w:leader="dot" w:pos="9026"/>
            </w:tabs>
            <w:spacing w:before="120" w:after="60"/>
          </w:pPr>
          <w:r>
            <w:t>Appendix O. The Document Map</w:t>
          </w:r>
          <w:r>
            <w:tab/>
          </w:r>
          <w:r>
            <w:t>96</w:t>
          </w:r>
        </w:p>
        <w:p>
          <w:pPr>
            <w:pStyle w:val="9"/>
            <w:tabs>
              <w:tab w:val="right" w:leader="dot" w:pos="9026"/>
            </w:tabs>
            <w:spacing w:before="120" w:after="60"/>
          </w:pPr>
          <w:r>
            <w:t>Appendix P. The Verdict Index</w:t>
          </w:r>
          <w:r>
            <w:tab/>
          </w:r>
          <w:r>
            <w:t>97</w:t>
          </w:r>
        </w:p>
        <w:p>
          <w:pPr>
            <w:pStyle w:val="9"/>
            <w:tabs>
              <w:tab w:val="right" w:leader="dot" w:pos="9026"/>
            </w:tabs>
            <w:spacing w:before="120" w:after="60"/>
          </w:pPr>
          <w:r>
            <w:t>Appendix Q. The Referee Checklist</w:t>
          </w:r>
          <w:r>
            <w:tab/>
          </w:r>
          <w:r>
            <w:t>97</w:t>
          </w:r>
        </w:p>
        <w:p>
          <w:r>
            <w:fldChar w:fldCharType="end"/>
          </w:r>
        </w:p>
      </w:sdtContent>
    </w:sdt>
    <w:p>
      <w:pPr>
        <w:spacing w:before="200"/>
        <w:sectPr>
          <w:footerReference w:type="default" r:id="rId6"/>
          <w:type w:val="nextPage"/>
          <w:pgSz w:w="11906" w:h="16838" w:orient="portrait"/>
          <w:pgMar w:top="1440" w:right="1440" w:bottom="1440" w:left="1440" w:header="708" w:footer="708" w:gutter="0"/>
          <w:pgNumType w:start="1" w:fmt="upperRoman"/>
          <w:docGrid w:linePitch="360"/>
        </w:sectPr>
      </w:pPr>
      <w:r>
        <w:rPr>
          <w:rFonts w:ascii="Times New Roman" w:hAnsi="Times New Roman"/>
          <w:i/>
          <w:iCs/>
          <w:color w:val="888888"/>
          <w:sz w:val="18"/>
          <w:szCs w:val="18"/>
        </w:rPr>
        <w:t xml:space="preserve">Note: This Table of Contents is generated via field codes. To ensure page number accuracy after editing, please right-click the TOC and select "Update Field."</w:t>
      </w:r>
    </w:p>
    <w:p>
      <w:pPr>
        <w:pStyle w:val="Heading1"/>
        <w:spacing w:after="160" w:before="360" w:line="312"/>
      </w:pPr>
      <w:bookmarkStart w:name="_Toc1" w:id="1"/>
      <w:r>
        <w:rPr>
          <w:rFonts w:ascii="Times New Roman" w:hAnsi="Times New Roman"/>
          <w:b/>
          <w:bCs/>
          <w:color w:val="2B2320"/>
          <w:sz w:val="32"/>
          <w:szCs w:val="32"/>
        </w:rPr>
        <w:t xml:space="preserve">Chapter 1. Introduction: One Idea, One Machine</w:t>
      </w:r>
      <w:bookmarkEnd w:id="1"/>
    </w:p>
    <w:p>
      <w:pPr>
        <w:spacing w:after="160" w:line="312"/>
        <w:jc w:val="both"/>
      </w:pPr>
      <w:r>
        <w:rPr>
          <w:rFonts w:ascii="Times New Roman" w:hAnsi="Times New Roman"/>
          <w:color w:val="7A5C48"/>
          <w:sz w:val="23"/>
          <w:szCs w:val="23"/>
        </w:rPr>
        <w:t xml:space="preserve">AB Cloud Quantum Research is a coherent study of a single idea: the algebraic AB (Aharonov–Bohm) architecture as a computing fabric that reads mathematics in real time and stores nothing. This monograph collects the whole program — the spectral core, the AB processor, the verification platform, the supplementary spinor study, the formal layer and the theorem layer — with complete campaign tables, certificates and honest boundaries of every claim.</w:t>
      </w:r>
    </w:p>
    <w:p>
      <w:pPr>
        <w:spacing w:after="120" w:line="312"/>
        <w:jc w:val="both"/>
      </w:pPr>
      <w:r>
        <w:rPr>
          <w:rFonts w:ascii="Times New Roman" w:hAnsi="Times New Roman"/>
          <w:color w:val="2B2320"/>
          <w:sz w:val="22"/>
          <w:szCs w:val="22"/>
        </w:rPr>
        <w:t xml:space="preserve">The idea from which the whole program grows is stated in one sentence: </w:t>
      </w:r>
      <w:r>
        <w:rPr>
          <w:rFonts w:ascii="Times New Roman" w:hAnsi="Times New Roman"/>
          <w:b/>
          <w:bCs/>
          <w:color w:val="2B2320"/>
          <w:sz w:val="22"/>
          <w:szCs w:val="22"/>
        </w:rPr>
        <w:t xml:space="preserve">mathematics is not stored — it is read</w:t>
      </w:r>
      <w:r>
        <w:rPr>
          <w:rFonts w:ascii="Times New Roman" w:hAnsi="Times New Roman"/>
          <w:color w:val="2B2320"/>
          <w:sz w:val="22"/>
          <w:szCs w:val="22"/>
        </w:rPr>
        <w:t xml:space="preserve">. Zeta zeros are reproduced from six constants of the trace formula at request time; the prime weight provably lives in the heat trace of the operator; the machine state is a volatile spinor phase executing steps in real time. Nothing remains in storage — no zero table, no log, no journal: everything needed is recomputed on demand. This is not a slogan but an architectural principle carried through to theorems, verdicts and executable protocols.</w:t>
      </w:r>
    </w:p>
    <w:p>
      <w:pPr>
        <w:spacing w:after="120" w:line="312"/>
        <w:jc w:val="both"/>
      </w:pPr>
      <w:r>
        <w:rPr>
          <w:rFonts w:ascii="Times New Roman" w:hAnsi="Times New Roman"/>
          <w:color w:val="2B2320"/>
          <w:sz w:val="22"/>
          <w:szCs w:val="22"/>
        </w:rPr>
        <w:t xml:space="preserve">Why is such a principle possible at all? The classical bridge between operator spectra and the zeta function provides the answer: if one constructs a Hermitian operator H</w:t>
      </w:r>
      <w:r>
        <w:rPr>
          <w:rFonts w:ascii="Times New Roman" w:hAnsi="Times New Roman"/>
          <w:color w:val="2B2320"/>
          <w:sz w:val="22"/>
          <w:szCs w:val="22"/>
          <w:vertAlign w:val="subscript"/>
        </w:rPr>
        <w:t xml:space="preserve">ξ</w:t>
      </w:r>
      <w:r>
        <w:rPr>
          <w:rFonts w:ascii="Times New Roman" w:hAnsi="Times New Roman"/>
          <w:color w:val="2B2320"/>
          <w:sz w:val="22"/>
          <w:szCs w:val="22"/>
        </w:rPr>
        <w:t xml:space="preserve"> whose heat trace K(x) = Tr e</w:t>
      </w:r>
      <w:r>
        <w:rPr>
          <w:rFonts w:ascii="Times New Roman" w:hAnsi="Times New Roman"/>
          <w:color w:val="2B2320"/>
          <w:sz w:val="22"/>
          <w:szCs w:val="22"/>
          <w:vertAlign w:val="superscript"/>
        </w:rPr>
        <w:t xml:space="preserve">−xH</w:t>
      </w:r>
      <w:r>
        <w:rPr>
          <w:rFonts w:ascii="Times New Roman" w:hAnsi="Times New Roman"/>
          <w:color w:val="2B2320"/>
          <w:sz w:val="22"/>
          <w:szCs w:val="22"/>
        </w:rPr>
        <w:t xml:space="preserve"> carries the arithmetic of the primes (Theorem Th6, campaign V7), then the zeros of ζ are recovered as spectral data of that operator. A spectrum can be </w:t>
      </w:r>
      <w:r>
        <w:rPr>
          <w:rFonts w:ascii="Times New Roman" w:hAnsi="Times New Roman"/>
          <w:i/>
          <w:iCs/>
          <w:color w:val="2B2320"/>
          <w:sz w:val="22"/>
          <w:szCs w:val="22"/>
        </w:rPr>
        <w:t xml:space="preserve">read</w:t>
      </w:r>
      <w:r>
        <w:rPr>
          <w:rFonts w:ascii="Times New Roman" w:hAnsi="Times New Roman"/>
          <w:color w:val="2B2320"/>
          <w:sz w:val="22"/>
          <w:szCs w:val="22"/>
        </w:rPr>
        <w:t xml:space="preserve"> — algorithmically, in finite time, with controlled accuracy — instead of being </w:t>
      </w:r>
      <w:r>
        <w:rPr>
          <w:rFonts w:ascii="Times New Roman" w:hAnsi="Times New Roman"/>
          <w:i/>
          <w:iCs/>
          <w:color w:val="2B2320"/>
          <w:sz w:val="22"/>
          <w:szCs w:val="22"/>
        </w:rPr>
        <w:t xml:space="preserve">stored</w:t>
      </w:r>
      <w:r>
        <w:rPr>
          <w:rFonts w:ascii="Times New Roman" w:hAnsi="Times New Roman"/>
          <w:color w:val="2B2320"/>
          <w:sz w:val="22"/>
          <w:szCs w:val="22"/>
        </w:rPr>
        <w:t xml:space="preserve"> as a table. The moment of the request becomes the moment of computation, and storage shrinks to six constants — the size of the cartridge from which the whole picture unfolds.</w:t>
      </w:r>
    </w:p>
    <w:p>
      <w:pPr>
        <w:spacing w:after="120" w:line="312"/>
        <w:jc w:val="both"/>
      </w:pPr>
      <w:r>
        <w:rPr>
          <w:rFonts w:ascii="Times New Roman" w:hAnsi="Times New Roman"/>
          <w:color w:val="2B2320"/>
          <w:sz w:val="22"/>
          <w:szCs w:val="22"/>
        </w:rPr>
        <w:t xml:space="preserve">Hence the second principle: </w:t>
      </w:r>
      <w:r>
        <w:rPr>
          <w:rFonts w:ascii="Times New Roman" w:hAnsi="Times New Roman"/>
          <w:b/>
          <w:bCs/>
          <w:color w:val="2B2320"/>
          <w:sz w:val="22"/>
          <w:szCs w:val="22"/>
        </w:rPr>
        <w:t xml:space="preserve">the state is volatile, the steps are real-time</w:t>
      </w:r>
      <w:r>
        <w:rPr>
          <w:rFonts w:ascii="Times New Roman" w:hAnsi="Times New Roman"/>
          <w:color w:val="2B2320"/>
          <w:sz w:val="22"/>
          <w:szCs w:val="22"/>
        </w:rPr>
        <w:t xml:space="preserve">. If the machine carries nothing, its operative state must be minimal and reconstructible: one register, one spinor, one phase. The supplementary study (chapters 14–15) drives this claim to explicit models: spinor phases θ = π/2, π/3, π/7 with a single volatile register, for which three theorems are proved — closure of phase cycles (TS1), irreversibility of reset (TS2), and incompatibility of an eternal log with hard real time (TS3). Volatility turns out to be not a weakness but the condition of determinism: a machine that logs everything is condemned to Ω(t) overhead and deadline misses.</w:t>
      </w:r>
    </w:p>
    <w:p>
      <w:pPr>
        <w:spacing w:after="120" w:line="312"/>
        <w:jc w:val="both"/>
      </w:pPr>
      <w:r>
        <w:rPr>
          <w:rFonts w:ascii="Times New Roman" w:hAnsi="Times New Roman"/>
          <w:color w:val="2B2320"/>
          <w:sz w:val="22"/>
          <w:szCs w:val="22"/>
        </w:rPr>
        <w:t xml:space="preserve">The third principle is the </w:t>
      </w:r>
      <w:r>
        <w:rPr>
          <w:rFonts w:ascii="Times New Roman" w:hAnsi="Times New Roman"/>
          <w:b/>
          <w:bCs/>
          <w:color w:val="2B2320"/>
          <w:sz w:val="22"/>
          <w:szCs w:val="22"/>
        </w:rPr>
        <w:t xml:space="preserve">honesty discipline</w:t>
      </w:r>
      <w:r>
        <w:rPr>
          <w:rFonts w:ascii="Times New Roman" w:hAnsi="Times New Roman"/>
          <w:color w:val="2B2320"/>
          <w:sz w:val="22"/>
          <w:szCs w:val="22"/>
        </w:rPr>
        <w:t xml:space="preserve">. The program is deliberately built around methods that exclude self-deception: pre-registered thresholds before any run, blind protocols with separated detector and validator, SHA256-pinned outputs before validation, cross-language replication (Julia BigFloat versus Python mpmath, numpy replicas of the compiler), publication of negative results and errata, and the formal obligation machine V13 that keeps the Riemann hypothesis conclusion blocked. Every numerical result in this book carries a statement of what it does </w:t>
      </w:r>
      <w:r>
        <w:rPr>
          <w:rFonts w:ascii="Times New Roman" w:hAnsi="Times New Roman"/>
          <w:i/>
          <w:iCs/>
          <w:color w:val="2B2320"/>
          <w:sz w:val="22"/>
          <w:szCs w:val="22"/>
        </w:rPr>
        <w:t xml:space="preserve">not</w:t>
      </w:r>
      <w:r>
        <w:rPr>
          <w:rFonts w:ascii="Times New Roman" w:hAnsi="Times New Roman"/>
          <w:color w:val="2B2320"/>
          <w:sz w:val="22"/>
          <w:szCs w:val="22"/>
        </w:rPr>
        <w:t xml:space="preserve"> prove — the does_not_prove field is present in every verdict.</w:t>
      </w:r>
    </w:p>
    <w:p>
      <w:pPr>
        <w:pStyle w:val="Heading2"/>
        <w:spacing w:after="120" w:before="280" w:line="312"/>
      </w:pPr>
      <w:bookmarkStart w:name="_Toc2" w:id="2"/>
      <w:r>
        <w:rPr>
          <w:rFonts w:ascii="Times New Roman" w:hAnsi="Times New Roman"/>
          <w:b/>
          <w:bCs/>
          <w:color w:val="7A5C48"/>
          <w:sz w:val="26"/>
          <w:szCs w:val="26"/>
        </w:rPr>
        <w:t xml:space="preserve">1.1. What is inside the program</w:t>
      </w:r>
      <w:bookmarkEnd w:id="2"/>
    </w:p>
    <w:p>
      <w:pPr>
        <w:spacing w:after="120" w:line="312"/>
        <w:jc w:val="both"/>
      </w:pPr>
      <w:r>
        <w:rPr>
          <w:rFonts w:ascii="Times New Roman" w:hAnsi="Times New Roman"/>
          <w:color w:val="2B2320"/>
          <w:sz w:val="22"/>
          <w:szCs w:val="22"/>
        </w:rPr>
        <w:t xml:space="preserve">The study is organized as a multi-level machine: each level has its own campaigns, protocols and documents, and all levels share one discipline and one set of numbers. A brief map:</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b/>
          <w:bCs/>
          <w:color w:val="2B2320"/>
          <w:sz w:val="22"/>
          <w:szCs w:val="22"/>
        </w:rPr>
        <w:t xml:space="preserve">The spectral core</w:t>
      </w:r>
      <w:r>
        <w:rPr>
          <w:rFonts w:ascii="Times New Roman" w:hAnsi="Times New Roman"/>
          <w:color w:val="2B2320"/>
          <w:sz w:val="22"/>
          <w:szCs w:val="22"/>
        </w:rPr>
        <w:t xml:space="preserve"> (modules/core_spectrum, campaigns V01–V19): blind spectrum, null models, the critical line, the V13 obligation machine, branch stitching V19; theorems Th1–Th6; a 10-tab web laboratory.</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b/>
          <w:bCs/>
          <w:color w:val="2B2320"/>
          <w:sz w:val="22"/>
          <w:szCs w:val="22"/>
        </w:rPr>
        <w:t xml:space="preserve">The AB processor</w:t>
      </w:r>
      <w:r>
        <w:rPr>
          <w:rFonts w:ascii="Times New Roman" w:hAnsi="Times New Roman"/>
          <w:color w:val="2B2320"/>
          <w:sz w:val="22"/>
          <w:szCs w:val="22"/>
        </w:rPr>
        <w:t xml:space="preserve"> (modules/processor_ab, campaign V20, stage P0): the AB-cloud ISA, the exact Givens-QR compiler, the "reads, does not carry" principle, no-signaling nonlocality; an 8-tab web laboratory.</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b/>
          <w:bCs/>
          <w:color w:val="2B2320"/>
          <w:sz w:val="22"/>
          <w:szCs w:val="22"/>
        </w:rPr>
        <w:t xml:space="preserve">The verification platform</w:t>
      </w:r>
      <w:r>
        <w:rPr>
          <w:rFonts w:ascii="Times New Roman" w:hAnsi="Times New Roman"/>
          <w:color w:val="2B2320"/>
          <w:sz w:val="22"/>
          <w:szCs w:val="22"/>
        </w:rPr>
        <w:t xml:space="preserve"> (modules/verifier_multilang, campaigns E01–E18, Julia): blind reading of ζ zeros by two independent engines, the independent Riemann–Siegel, the class-B comparison of the compiler against five baselines; 18 of 18 pre-registered verdicts.</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b/>
          <w:bCs/>
          <w:color w:val="2B2320"/>
          <w:sz w:val="22"/>
          <w:szCs w:val="22"/>
        </w:rPr>
        <w:t xml:space="preserve">The spinor study</w:t>
      </w:r>
      <w:r>
        <w:rPr>
          <w:rFonts w:ascii="Times New Roman" w:hAnsi="Times New Roman"/>
          <w:color w:val="2B2320"/>
          <w:sz w:val="22"/>
          <w:szCs w:val="22"/>
        </w:rPr>
        <w:t xml:space="preserve"> (research/realtime_spinor_memory, campaigns ES1–ES5): the machine with no long-term memory, three phase models, theorems TS1–TS3, five verdicts.</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b/>
          <w:bCs/>
          <w:color w:val="2B2320"/>
          <w:sz w:val="22"/>
          <w:szCs w:val="22"/>
        </w:rPr>
        <w:t xml:space="preserve">The formal layer</w:t>
      </w:r>
      <w:r>
        <w:rPr>
          <w:rFonts w:ascii="Times New Roman" w:hAnsi="Times New Roman"/>
          <w:color w:val="2B2320"/>
          <w:sz w:val="22"/>
          <w:szCs w:val="22"/>
        </w:rPr>
        <w:t xml:space="preserve"> (formal/): statements in Lean 4, Coq, Agda and Isabelle, reductions A1–A6, no sorry/admit.</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b/>
          <w:bCs/>
          <w:color w:val="2B2320"/>
          <w:sz w:val="22"/>
          <w:szCs w:val="22"/>
        </w:rPr>
        <w:t xml:space="preserve">The theorem layer</w:t>
      </w:r>
      <w:r>
        <w:rPr>
          <w:rFonts w:ascii="Times New Roman" w:hAnsi="Times New Roman"/>
          <w:color w:val="2B2320"/>
          <w:sz w:val="22"/>
          <w:szCs w:val="22"/>
        </w:rPr>
        <w:t xml:space="preserve"> (theorems_lemmas/): 36 bilingual documents RU/EN × PDF/DOCX, 20 four-dimension tiles at 600 dpi.</w:t>
      </w:r>
    </w:p>
    <w:p>
      <w:pPr>
        <w:spacing w:after="120" w:line="312"/>
        <w:jc w:val="both"/>
      </w:pPr>
      <w:r>
        <w:rPr>
          <w:rFonts w:ascii="Times New Roman" w:hAnsi="Times New Roman"/>
          <w:color w:val="2B2320"/>
          <w:sz w:val="22"/>
          <w:szCs w:val="22"/>
        </w:rPr>
        <w:t xml:space="preserve">In total the program contains </w:t>
      </w:r>
      <w:r>
        <w:rPr>
          <w:rFonts w:ascii="Times New Roman" w:hAnsi="Times New Roman"/>
          <w:b/>
          <w:bCs/>
          <w:color w:val="2B2320"/>
          <w:sz w:val="22"/>
          <w:szCs w:val="22"/>
        </w:rPr>
        <w:t xml:space="preserve">43 campaigns</w:t>
      </w:r>
      <w:r>
        <w:rPr>
          <w:rFonts w:ascii="Times New Roman" w:hAnsi="Times New Roman"/>
          <w:color w:val="2B2320"/>
          <w:sz w:val="22"/>
          <w:szCs w:val="22"/>
        </w:rPr>
        <w:t xml:space="preserve"> with pre-registered thresholds — all verdicts PASS; </w:t>
      </w:r>
      <w:r>
        <w:rPr>
          <w:rFonts w:ascii="Times New Roman" w:hAnsi="Times New Roman"/>
          <w:b/>
          <w:bCs/>
          <w:color w:val="2B2320"/>
          <w:sz w:val="22"/>
          <w:szCs w:val="22"/>
        </w:rPr>
        <w:t xml:space="preserve">9 theorems</w:t>
      </w:r>
      <w:r>
        <w:rPr>
          <w:rFonts w:ascii="Times New Roman" w:hAnsi="Times New Roman"/>
          <w:color w:val="2B2320"/>
          <w:sz w:val="22"/>
          <w:szCs w:val="22"/>
        </w:rPr>
        <w:t xml:space="preserve"> with certificates and documents; </w:t>
      </w:r>
      <w:r>
        <w:rPr>
          <w:rFonts w:ascii="Times New Roman" w:hAnsi="Times New Roman"/>
          <w:b/>
          <w:bCs/>
          <w:color w:val="2B2320"/>
          <w:sz w:val="22"/>
          <w:szCs w:val="22"/>
        </w:rPr>
        <w:t xml:space="preserve">36 documents</w:t>
      </w:r>
      <w:r>
        <w:rPr>
          <w:rFonts w:ascii="Times New Roman" w:hAnsi="Times New Roman"/>
          <w:color w:val="2B2320"/>
          <w:sz w:val="22"/>
          <w:szCs w:val="22"/>
        </w:rPr>
        <w:t xml:space="preserve"> in two languages and two formats; </w:t>
      </w:r>
      <w:r>
        <w:rPr>
          <w:rFonts w:ascii="Times New Roman" w:hAnsi="Times New Roman"/>
          <w:b/>
          <w:bCs/>
          <w:color w:val="2B2320"/>
          <w:sz w:val="22"/>
          <w:szCs w:val="22"/>
        </w:rPr>
        <w:t xml:space="preserve">20 tiled figures</w:t>
      </w:r>
      <w:r>
        <w:rPr>
          <w:rFonts w:ascii="Times New Roman" w:hAnsi="Times New Roman"/>
          <w:color w:val="2B2320"/>
          <w:sz w:val="22"/>
          <w:szCs w:val="22"/>
        </w:rPr>
        <w:t xml:space="preserve">; three web laboratories; multi-language core implementations in C, C++, Rust, Go, JavaScript and Julia; more than </w:t>
      </w:r>
      <w:r>
        <w:rPr>
          <w:rFonts w:ascii="Times New Roman" w:hAnsi="Times New Roman"/>
          <w:b/>
          <w:bCs/>
          <w:color w:val="2B2320"/>
          <w:sz w:val="22"/>
          <w:szCs w:val="22"/>
        </w:rPr>
        <w:t xml:space="preserve">410 tests</w:t>
      </w:r>
      <w:r>
        <w:rPr>
          <w:rFonts w:ascii="Times New Roman" w:hAnsi="Times New Roman"/>
          <w:color w:val="2B2320"/>
          <w:sz w:val="22"/>
          <w:szCs w:val="22"/>
        </w:rPr>
        <w:t xml:space="preserve"> and more than </w:t>
      </w:r>
      <w:r>
        <w:rPr>
          <w:rFonts w:ascii="Times New Roman" w:hAnsi="Times New Roman"/>
          <w:b/>
          <w:bCs/>
          <w:color w:val="2B2320"/>
          <w:sz w:val="22"/>
          <w:szCs w:val="22"/>
        </w:rPr>
        <w:t xml:space="preserve">95 package integrity checks</w:t>
      </w:r>
      <w:r>
        <w:rPr>
          <w:rFonts w:ascii="Times New Roman" w:hAnsi="Times New Roman"/>
          <w:color w:val="2B2320"/>
          <w:sz w:val="22"/>
          <w:szCs w:val="22"/>
        </w:rPr>
        <w:t xml:space="preserve">. The program version is 1.0.0; this monograph corresponds exactly to that version.</w:t>
      </w:r>
    </w:p>
    <w:p>
      <w:pPr>
        <w:pStyle w:val="Heading2"/>
        <w:spacing w:after="120" w:before="280" w:line="312"/>
      </w:pPr>
      <w:bookmarkStart w:name="_Toc3" w:id="3"/>
      <w:r>
        <w:rPr>
          <w:rFonts w:ascii="Times New Roman" w:hAnsi="Times New Roman"/>
          <w:b/>
          <w:bCs/>
          <w:color w:val="7A5C48"/>
          <w:sz w:val="26"/>
          <w:szCs w:val="26"/>
        </w:rPr>
        <w:t xml:space="preserve">1.2. The honest boundary: what is not proved</w:t>
      </w:r>
      <w:bookmarkEnd w:id="3"/>
    </w:p>
    <w:p>
      <w:pPr>
        <w:pBdr>
          <w:left w:val="single" w:color="C96F4A" w:sz="12" w:space="12"/>
        </w:pBdr>
        <w:shd w:fill="FAF6F3" w:val="clear"/>
        <w:spacing w:after="140" w:line="312"/>
        <w:ind w:left="480" w:right="360"/>
        <w:jc w:val="both"/>
      </w:pPr>
      <w:r>
        <w:rPr>
          <w:rFonts w:ascii="Times New Roman" w:hAnsi="Times New Roman"/>
          <w:color w:val="7A5C48"/>
          <w:sz w:val="21"/>
          <w:szCs w:val="21"/>
        </w:rPr>
        <w:t xml:space="preserve">Everything described here is a numerical and formal study of a mathematical model. It does not prove the Riemann hypothesis: the V13 obligation machine keeps the RH conclusion blocked (verdict: blocked) while the analytic prerequisites remain assumed. The Lean/Coq formalization guarantees this blocking — it does not remove it.</w:t>
      </w:r>
    </w:p>
    <w:p>
      <w:pPr>
        <w:spacing w:after="120" w:line="312"/>
        <w:jc w:val="both"/>
      </w:pPr>
      <w:r>
        <w:rPr>
          <w:rFonts w:ascii="Times New Roman" w:hAnsi="Times New Roman"/>
          <w:color w:val="2B2320"/>
          <w:sz w:val="22"/>
          <w:szCs w:val="22"/>
        </w:rPr>
        <w:t xml:space="preserve">This boundary is not fine print but a constitutive element of the program. The obligation machine V13 (chapter 6) represents the path to the RH conclusion as a DAG in which five nodes are proved, three computed and four remain hypotheses (O08, O09, O11, O12). No numerical check — neither 649 matched zeros nor the trace-prime correlation r = 0.9996 — raises the status of these hypotheses. Numerical results confirm the </w:t>
      </w:r>
      <w:r>
        <w:rPr>
          <w:rFonts w:ascii="Times New Roman" w:hAnsi="Times New Roman"/>
          <w:i/>
          <w:iCs/>
          <w:color w:val="2B2320"/>
          <w:sz w:val="22"/>
          <w:szCs w:val="22"/>
        </w:rPr>
        <w:t xml:space="preserve">consistency</w:t>
      </w:r>
      <w:r>
        <w:rPr>
          <w:rFonts w:ascii="Times New Roman" w:hAnsi="Times New Roman"/>
          <w:color w:val="2B2320"/>
          <w:sz w:val="22"/>
          <w:szCs w:val="22"/>
        </w:rPr>
        <w:t xml:space="preserve"> of the model and the accuracy of its implementation; they do not remove the analytic requirements. This position protects the program from the classic occupational hazard of applied mathematics: the illusion of proof created by a long chain of successful computations.</w:t>
      </w:r>
    </w:p>
    <w:p>
      <w:pPr>
        <w:spacing w:after="120" w:line="312"/>
        <w:jc w:val="both"/>
      </w:pPr>
      <w:r>
        <w:rPr>
          <w:rFonts w:ascii="Times New Roman" w:hAnsi="Times New Roman"/>
          <w:color w:val="2B2320"/>
          <w:sz w:val="22"/>
          <w:szCs w:val="22"/>
        </w:rPr>
        <w:t xml:space="preserve">Negative results are fixed with equal care: ζ-correspondences on lattices are not found (V1/V3/V6/V16), vortices break the block reduction Th5, the 2q KAK optimum is unreachable in the ISA class of E18 (10 gates versus the optimum 3, honestly reported as a class boundary). Publishing negative results is not decoration but a working method: they delineate the applicability of the architecture and steer the roadmaps of the next campaigns.</w:t>
      </w:r>
    </w:p>
    <w:p>
      <w:pPr>
        <w:pStyle w:val="Heading2"/>
        <w:spacing w:after="120" w:before="280" w:line="312"/>
      </w:pPr>
      <w:bookmarkStart w:name="_Toc4" w:id="4"/>
      <w:r>
        <w:rPr>
          <w:rFonts w:ascii="Times New Roman" w:hAnsi="Times New Roman"/>
          <w:b/>
          <w:bCs/>
          <w:color w:val="7A5C48"/>
          <w:sz w:val="26"/>
          <w:szCs w:val="26"/>
        </w:rPr>
        <w:t xml:space="preserve">1.3. How to read this monograph</w:t>
      </w:r>
      <w:bookmarkEnd w:id="4"/>
    </w:p>
    <w:p>
      <w:pPr>
        <w:spacing w:after="120" w:line="312"/>
        <w:jc w:val="both"/>
      </w:pPr>
      <w:r>
        <w:rPr>
          <w:rFonts w:ascii="Times New Roman" w:hAnsi="Times New Roman"/>
          <w:color w:val="2B2320"/>
          <w:sz w:val="22"/>
          <w:szCs w:val="22"/>
        </w:rPr>
        <w:t xml:space="preserve">The monograph follows the logic of the machine, not the chronology of experiments. Parts I–II introduce the idea, the honesty discipline and the architecture, then dissect the spectral core and theorems Th1–Th6. Part III is devoted to the AB processor: the ISA, exact compilation and the "reads, does not carry" principle. Part IV describes the independent verification platform — blind protocols, zero reading E17, Riemann–Siegel E16 and the class-B benchmark E18. Part V covers the spinor study and theorems TS1–TS3. Part VI — infrastructure: data, web laboratories, the formal layer, the level research programs, the hypothesis laboratory and the roadmaps. The appendices contain the full table of 43 campaigns, the flagship numbers, the theorem summary, a glossary and the file map.</w:t>
      </w:r>
    </w:p>
    <w:p>
      <w:pPr>
        <w:spacing w:after="120" w:line="312"/>
        <w:jc w:val="both"/>
      </w:pPr>
      <w:r>
        <w:rPr>
          <w:rFonts w:ascii="Times New Roman" w:hAnsi="Times New Roman"/>
          <w:color w:val="2B2320"/>
          <w:sz w:val="22"/>
          <w:szCs w:val="22"/>
        </w:rPr>
        <w:t xml:space="preserve">A reader interested only in the outcomes needs chapters 3 (architecture), 7 (theorems), 12 (blind zero reading) and appendices A–B. A reader who wants to reproduce results should look at chapter 20 (the hypothesis laboratory) and the quick-start sections of each level; every campaign points to its verdict file, and every verdict points to its pre-registration protocol. File references are given relative to the root of the AB_Cloud_Quantum_Research folder.</w:t>
      </w:r>
    </w:p>
    <w:p>
      <w:pPr>
        <w:pStyle w:val="Heading1"/>
        <w:spacing w:after="160" w:before="360" w:line="312"/>
      </w:pPr>
      <w:bookmarkStart w:name="_Toc5" w:id="5"/>
      <w:r>
        <w:rPr>
          <w:rFonts w:ascii="Times New Roman" w:hAnsi="Times New Roman"/>
          <w:b/>
          <w:bCs/>
          <w:color w:val="2B2320"/>
          <w:sz w:val="32"/>
          <w:szCs w:val="32"/>
        </w:rPr>
        <w:t xml:space="preserve">Chapter 2. The Honesty Discipline</w:t>
      </w:r>
      <w:bookmarkEnd w:id="5"/>
    </w:p>
    <w:p>
      <w:pPr>
        <w:spacing w:after="160" w:line="312"/>
        <w:jc w:val="both"/>
      </w:pPr>
      <w:r>
        <w:rPr>
          <w:rFonts w:ascii="Times New Roman" w:hAnsi="Times New Roman"/>
          <w:color w:val="7A5C48"/>
          <w:sz w:val="23"/>
          <w:szCs w:val="23"/>
        </w:rPr>
        <w:t xml:space="preserve">The honesty discipline is a set of methods that turn a numerical experiment into a provably controlled procedure: pre-registered thresholds, blind protocols, SHA256 pins, cross-language replication, publication of negative results and errata. Every principle is anchored in concrete files of the package and enforced by integrity automation.</w:t>
      </w:r>
    </w:p>
    <w:p>
      <w:pPr>
        <w:pStyle w:val="Heading2"/>
        <w:spacing w:after="120" w:before="280" w:line="312"/>
      </w:pPr>
      <w:bookmarkStart w:name="_Toc6" w:id="6"/>
      <w:r>
        <w:rPr>
          <w:rFonts w:ascii="Times New Roman" w:hAnsi="Times New Roman"/>
          <w:b/>
          <w:bCs/>
          <w:color w:val="7A5C48"/>
          <w:sz w:val="26"/>
          <w:szCs w:val="26"/>
        </w:rPr>
        <w:t xml:space="preserve">2.1. Pre-registered thresholds</w:t>
      </w:r>
      <w:bookmarkEnd w:id="6"/>
    </w:p>
    <w:p>
      <w:pPr>
        <w:spacing w:after="120" w:line="312"/>
        <w:jc w:val="both"/>
      </w:pPr>
      <w:r>
        <w:rPr>
          <w:rFonts w:ascii="Times New Roman" w:hAnsi="Times New Roman"/>
          <w:color w:val="2B2320"/>
          <w:sz w:val="22"/>
          <w:szCs w:val="22"/>
        </w:rPr>
        <w:t xml:space="preserve">Every campaign of the program starts not with code but with a protocol: the thresholds under which the verdict will be declared PASS or FAIL are fixed </w:t>
      </w:r>
      <w:r>
        <w:rPr>
          <w:rFonts w:ascii="Times New Roman" w:hAnsi="Times New Roman"/>
          <w:b/>
          <w:bCs/>
          <w:color w:val="2B2320"/>
          <w:sz w:val="22"/>
          <w:szCs w:val="22"/>
        </w:rPr>
        <w:t xml:space="preserve">before</w:t>
      </w:r>
      <w:r>
        <w:rPr>
          <w:rFonts w:ascii="Times New Roman" w:hAnsi="Times New Roman"/>
          <w:color w:val="2B2320"/>
          <w:sz w:val="22"/>
          <w:szCs w:val="22"/>
        </w:rPr>
        <w:t xml:space="preserve"> the first run and stored in the campaign protocol file. The pre_registered field of the verdict files quotes these thresholds verbatim. For E17 the thresholds were: precision = recall = 1 for both engines; the maximal deviation of an ordinate from the mpmath.zetazero reference at most 1e−9; cross-engine disagreement at most 1e−9; completeness N(1000) per the standard Riemann–von Mangoldt formula. The measured values turned out to be many orders better than the thresholds — but the order of operations matters: the threshold existed before the measurement.</w:t>
      </w:r>
    </w:p>
    <w:p>
      <w:pPr>
        <w:spacing w:after="120" w:line="312"/>
        <w:jc w:val="both"/>
      </w:pPr>
      <w:r>
        <w:rPr>
          <w:rFonts w:ascii="Times New Roman" w:hAnsi="Times New Roman"/>
          <w:color w:val="2B2320"/>
          <w:sz w:val="22"/>
          <w:szCs w:val="22"/>
        </w:rPr>
        <w:t xml:space="preserve">Pre-registration excludes the cheapest form of self-deception — tuning the criterion to the obtained result. It also makes a negative outcome informative: if the threshold is not met, this is recorded by the same verdict mechanism, with the same status and the same publication. The program has already replaced thresholds — ES2a and ES5a: the thresholds of ES2 and ES5 were replaced </w:t>
      </w:r>
      <w:r>
        <w:rPr>
          <w:rFonts w:ascii="Times New Roman" w:hAnsi="Times New Roman"/>
          <w:b/>
          <w:bCs/>
          <w:color w:val="2B2320"/>
          <w:sz w:val="22"/>
          <w:szCs w:val="22"/>
        </w:rPr>
        <w:t xml:space="preserve">before</w:t>
      </w:r>
      <w:r>
        <w:rPr>
          <w:rFonts w:ascii="Times New Roman" w:hAnsi="Times New Roman"/>
          <w:color w:val="2B2320"/>
          <w:sz w:val="22"/>
          <w:szCs w:val="22"/>
        </w:rPr>
        <w:t xml:space="preserve"> the verdicts were accepted, and both replacements are published in the corresponding verdict files. The rule is simple: you may change a threshold, but only explicitly, with documentation, and before the verdict.</w:t>
      </w:r>
    </w:p>
    <w:p>
      <w:pPr>
        <w:pStyle w:val="Heading2"/>
        <w:spacing w:after="120" w:before="280" w:line="312"/>
      </w:pPr>
      <w:bookmarkStart w:name="_Toc7" w:id="7"/>
      <w:r>
        <w:rPr>
          <w:rFonts w:ascii="Times New Roman" w:hAnsi="Times New Roman"/>
          <w:b/>
          <w:bCs/>
          <w:color w:val="7A5C48"/>
          <w:sz w:val="26"/>
          <w:szCs w:val="26"/>
        </w:rPr>
        <w:t xml:space="preserve">2.2. Blind protocols and SHA256 pins</w:t>
      </w:r>
      <w:bookmarkEnd w:id="7"/>
    </w:p>
    <w:p>
      <w:pPr>
        <w:spacing w:after="120" w:line="312"/>
        <w:jc w:val="both"/>
      </w:pPr>
      <w:r>
        <w:rPr>
          <w:rFonts w:ascii="Times New Roman" w:hAnsi="Times New Roman"/>
          <w:color w:val="2B2320"/>
          <w:sz w:val="22"/>
          <w:szCs w:val="22"/>
        </w:rPr>
        <w:t xml:space="preserve">A blind protocol splits the computation into two independent roles: the </w:t>
      </w:r>
      <w:r>
        <w:rPr>
          <w:rFonts w:ascii="Times New Roman" w:hAnsi="Times New Roman"/>
          <w:b/>
          <w:bCs/>
          <w:color w:val="2B2320"/>
          <w:sz w:val="22"/>
          <w:szCs w:val="22"/>
        </w:rPr>
        <w:t xml:space="preserve">detector</w:t>
      </w:r>
      <w:r>
        <w:rPr>
          <w:rFonts w:ascii="Times New Roman" w:hAnsi="Times New Roman"/>
          <w:color w:val="2B2320"/>
          <w:sz w:val="22"/>
          <w:szCs w:val="22"/>
        </w:rPr>
        <w:t xml:space="preserve"> produces an output (for example, a list of zero ordinates), and the </w:t>
      </w:r>
      <w:r>
        <w:rPr>
          <w:rFonts w:ascii="Times New Roman" w:hAnsi="Times New Roman"/>
          <w:b/>
          <w:bCs/>
          <w:color w:val="2B2320"/>
          <w:sz w:val="22"/>
          <w:szCs w:val="22"/>
        </w:rPr>
        <w:t xml:space="preserve">validator</w:t>
      </w:r>
      <w:r>
        <w:rPr>
          <w:rFonts w:ascii="Times New Roman" w:hAnsi="Times New Roman"/>
          <w:color w:val="2B2320"/>
          <w:sz w:val="22"/>
          <w:szCs w:val="22"/>
        </w:rPr>
        <w:t xml:space="preserve"> compares it with a reference. The detector has no access to the reference; the validator receives the detector output only after it has been fixed cryptographically. The output file is hashed with SHA256, the hash is pinned in a separate file, and only then is validation launched. For E17 both pins are recorded — the EM detector and the Riemann–Siegel detector; the validator compared them with the 660-ordinate reference only after pinning.</w:t>
      </w:r>
    </w:p>
    <w:p>
      <w:pPr>
        <w:spacing w:after="120" w:line="312"/>
        <w:jc w:val="both"/>
      </w:pPr>
      <w:r>
        <w:rPr>
          <w:rFonts w:ascii="Times New Roman" w:hAnsi="Times New Roman"/>
          <w:color w:val="2B2320"/>
          <w:sz w:val="22"/>
          <w:szCs w:val="22"/>
        </w:rPr>
        <w:t xml:space="preserve">Blindness protects against a subtle leak: the accidental adjustment of the output towards the expectation. When the detector cannot see the reference, agreement becomes a fact rather than an artifact of the procedure. Pinning adds temporal proof: a hash fixed before validation cannot be changed retroactively without a trace in the repository history. In E17 and E11 this mechanism is applied in full; in V01 and the ES campaigns — in a lighter form matched to the nature of the protocol.</w:t>
      </w:r>
    </w:p>
    <w:p>
      <w:pPr>
        <w:pStyle w:val="Heading2"/>
        <w:spacing w:after="120" w:before="280" w:line="312"/>
      </w:pPr>
      <w:bookmarkStart w:name="_Toc8" w:id="8"/>
      <w:r>
        <w:rPr>
          <w:rFonts w:ascii="Times New Roman" w:hAnsi="Times New Roman"/>
          <w:b/>
          <w:bCs/>
          <w:color w:val="7A5C48"/>
          <w:sz w:val="26"/>
          <w:szCs w:val="26"/>
        </w:rPr>
        <w:t xml:space="preserve">2.3. Cross-language replication</w:t>
      </w:r>
      <w:bookmarkEnd w:id="8"/>
    </w:p>
    <w:p>
      <w:pPr>
        <w:spacing w:after="120" w:line="312"/>
        <w:jc w:val="both"/>
      </w:pPr>
      <w:r>
        <w:rPr>
          <w:rFonts w:ascii="Times New Roman" w:hAnsi="Times New Roman"/>
          <w:color w:val="2B2320"/>
          <w:sz w:val="22"/>
          <w:szCs w:val="22"/>
        </w:rPr>
        <w:t xml:space="preserve">The independence of the implementation is checked by replication in another language and another arithmetic. The key replications of the program: Julia BigFloat versus Python mpmath in E11/E16/E17 — zero disagreement, bit-exact; a numpy replica of the V20 compiler — zero counter mismatches, |Δ(1−F)| = 2.2e−16 at the machine epsilon level; a numpy replica of E18 — zero counter mismatches. The multi-language implementations of the core in C, C++, Rust, Go and JavaScript add another layer: the control files stitch_control.txt and verify_control.txt record the agreed outputs of all languages.</w:t>
      </w:r>
    </w:p>
    <w:p>
      <w:pPr>
        <w:spacing w:after="120" w:line="312"/>
        <w:jc w:val="both"/>
      </w:pPr>
      <w:r>
        <w:rPr>
          <w:rFonts w:ascii="Times New Roman" w:hAnsi="Times New Roman"/>
          <w:color w:val="2B2320"/>
          <w:sz w:val="22"/>
          <w:szCs w:val="22"/>
        </w:rPr>
        <w:t xml:space="preserve">Replication catches what unit tests do not: the dependence of a result on the quirks of a particular library, operation order or number representation. When two implementations in different languages, with different libraries and different rounding strategies produce a bit-exact result, the probability of a software artifact falls essentially to zero — what remains is the arithmetic of the problem itself.</w:t>
      </w:r>
    </w:p>
    <w:p>
      <w:pPr>
        <w:pStyle w:val="Heading2"/>
        <w:spacing w:after="120" w:before="280" w:line="312"/>
      </w:pPr>
      <w:bookmarkStart w:name="_Toc9" w:id="9"/>
      <w:r>
        <w:rPr>
          <w:rFonts w:ascii="Times New Roman" w:hAnsi="Times New Roman"/>
          <w:b/>
          <w:bCs/>
          <w:color w:val="7A5C48"/>
          <w:sz w:val="26"/>
          <w:szCs w:val="26"/>
        </w:rPr>
        <w:t xml:space="preserve">2.4. Negative results and errata</w:t>
      </w:r>
      <w:bookmarkEnd w:id="9"/>
    </w:p>
    <w:p>
      <w:pPr>
        <w:spacing w:after="120" w:line="312"/>
        <w:jc w:val="both"/>
      </w:pPr>
      <w:r>
        <w:rPr>
          <w:rFonts w:ascii="Times New Roman" w:hAnsi="Times New Roman"/>
          <w:color w:val="2B2320"/>
          <w:sz w:val="22"/>
          <w:szCs w:val="22"/>
        </w:rPr>
        <w:t xml:space="preserve">The program publishes negative results on a par with positive ones, and this is an inventory rather than a declaration:</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b/>
          <w:bCs/>
          <w:color w:val="2B2320"/>
          <w:sz w:val="22"/>
          <w:szCs w:val="22"/>
        </w:rPr>
        <w:t xml:space="preserve">V1/V3/V6/V16</w:t>
      </w:r>
      <w:r>
        <w:rPr>
          <w:rFonts w:ascii="Times New Roman" w:hAnsi="Times New Roman"/>
          <w:color w:val="2B2320"/>
          <w:sz w:val="22"/>
          <w:szCs w:val="22"/>
        </w:rPr>
        <w:t xml:space="preserve"> — ζ-correspondences on lattices are not found: individual zero ordinates are not predicted by any null model beyond GUE statistics.</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b/>
          <w:bCs/>
          <w:color w:val="2B2320"/>
          <w:sz w:val="22"/>
          <w:szCs w:val="22"/>
        </w:rPr>
        <w:t xml:space="preserve">Th5 and vortices</w:t>
      </w:r>
      <w:r>
        <w:rPr>
          <w:rFonts w:ascii="Times New Roman" w:hAnsi="Times New Roman"/>
          <w:color w:val="2B2320"/>
          <w:sz w:val="22"/>
          <w:szCs w:val="22"/>
        </w:rPr>
        <w:t xml:space="preserve"> — adding vortex terms breaks the block reduction by characters: the condition [H,A]=[H,B]=0 is essential.</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b/>
          <w:bCs/>
          <w:color w:val="2B2320"/>
          <w:sz w:val="22"/>
          <w:szCs w:val="22"/>
        </w:rPr>
        <w:t xml:space="preserve">E18 and KAK</w:t>
      </w:r>
      <w:r>
        <w:rPr>
          <w:rFonts w:ascii="Times New Roman" w:hAnsi="Times New Roman"/>
          <w:color w:val="2B2320"/>
          <w:sz w:val="22"/>
          <w:szCs w:val="22"/>
        </w:rPr>
        <w:t xml:space="preserve"> — the 2q Kakaš–Kitaev optimum (3 gates) is unreachable in the ISA class: the compiler produces 10 gates, and this is honestly declared as a class boundary.</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b/>
          <w:bCs/>
          <w:color w:val="2B2320"/>
          <w:sz w:val="22"/>
          <w:szCs w:val="22"/>
        </w:rPr>
        <w:t xml:space="preserve">The B/C₀ erratum</w:t>
      </w:r>
      <w:r>
        <w:rPr>
          <w:rFonts w:ascii="Times New Roman" w:hAnsi="Times New Roman"/>
          <w:color w:val="2B2320"/>
          <w:sz w:val="22"/>
          <w:szCs w:val="22"/>
        </w:rPr>
        <w:t xml:space="preserve"> — the constants of Th6 contained an error, found and fixed; original and corrected values are published in the V7 verdict.</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b/>
          <w:bCs/>
          <w:color w:val="2B2320"/>
          <w:sz w:val="22"/>
          <w:szCs w:val="22"/>
        </w:rPr>
        <w:t xml:space="preserve">The γ₁₂ erratum</w:t>
      </w:r>
      <w:r>
        <w:rPr>
          <w:rFonts w:ascii="Times New Roman" w:hAnsi="Times New Roman"/>
          <w:color w:val="2B2320"/>
          <w:sz w:val="22"/>
          <w:szCs w:val="22"/>
        </w:rPr>
        <w:t xml:space="preserve"> — the value 56.446200059994141 from the framework was refuted by the blind E17 detector: the correct value is 56.446247697063399.</w:t>
      </w:r>
    </w:p>
    <w:p>
      <w:pPr>
        <w:spacing w:after="120" w:line="312"/>
        <w:jc w:val="both"/>
      </w:pPr>
      <w:r>
        <w:rPr>
          <w:rFonts w:ascii="Times New Roman" w:hAnsi="Times New Roman"/>
          <w:color w:val="2B2320"/>
          <w:sz w:val="22"/>
          <w:szCs w:val="22"/>
        </w:rPr>
        <w:t xml:space="preserve">The errata mechanics here are the same as in classical mathematics: an error is recorded, published, corrected, and the correction passes through the same verification cycle as the original claim. The blind detector that refuted γ₁₂ is the same detector that confirmed 649 zeros; one procedure yields both confirmations and refutations, and that is the symmetry of the method.</w:t>
      </w:r>
    </w:p>
    <w:p>
      <w:pPr>
        <w:pStyle w:val="Heading2"/>
        <w:spacing w:after="120" w:before="280" w:line="312"/>
      </w:pPr>
      <w:bookmarkStart w:name="_Toc10" w:id="10"/>
      <w:r>
        <w:rPr>
          <w:rFonts w:ascii="Times New Roman" w:hAnsi="Times New Roman"/>
          <w:b/>
          <w:bCs/>
          <w:color w:val="7A5C48"/>
          <w:sz w:val="26"/>
          <w:szCs w:val="26"/>
        </w:rPr>
        <w:t xml:space="preserve">2.5. Package integrity</w:t>
      </w:r>
      <w:bookmarkEnd w:id="10"/>
    </w:p>
    <w:p>
      <w:pPr>
        <w:spacing w:after="120" w:line="312"/>
        <w:jc w:val="both"/>
      </w:pPr>
      <w:r>
        <w:rPr>
          <w:rFonts w:ascii="Times New Roman" w:hAnsi="Times New Roman"/>
          <w:color w:val="2B2320"/>
          <w:sz w:val="22"/>
          <w:szCs w:val="22"/>
        </w:rPr>
        <w:t xml:space="preserve">All the listed principles converge in integrity automation: the script scripts/validate_package.py performs more than 95 checks — from the consistency of verdicts with protocols to recomputation of SHA256 hashes and the agreement of tiled figures with verdict data. No top-level figure is built "from the head": they are rebuilt by scripts exclusively from committed verdicts (make_tiled_figures.py, make_atlas.py, make_timeline.py, make_datasets.py). The same principle governs the level monographs and this book: every number is duplicated from verdict files and can be verified with a single command.</w:t>
      </w:r>
    </w:p>
    <w:p>
      <w:pPr>
        <w:keepNext/>
        <w:spacing w:after="80" w:before="160"/>
        <w:jc w:val="center"/>
      </w:pPr>
      <w:r>
        <w:rPr>
          <w:rFonts w:ascii="Times New Roman" w:hAnsi="Times New Roman"/>
          <w:b/>
          <w:bCs/>
          <w:color w:val="7A5C48"/>
          <w:sz w:val="19"/>
          <w:szCs w:val="19"/>
        </w:rPr>
        <w:t xml:space="preserve">Table 2.1. Six principles of the honesty discipline and their anchors</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2347"/>
        <w:gridCol w:w="2888"/>
        <w:gridCol w:w="3791"/>
      </w:tblGrid>
      <w:tr>
        <w:trPr>
          <w:cantSplit/>
          <w:tblHeader/>
        </w:trPr>
        <w:tc>
          <w:tcPr>
            <w:tcW w:type="pct" w:w="13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Principle</w:t>
            </w:r>
          </w:p>
        </w:tc>
        <w:tc>
          <w:tcPr>
            <w:tcW w:type="pct" w:w="16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Where anchored</w:t>
            </w:r>
          </w:p>
        </w:tc>
        <w:tc>
          <w:tcPr>
            <w:tcW w:type="pct" w:w="21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Key example</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Pre-registered thresholds</w:t>
            </w:r>
          </w:p>
        </w:tc>
        <w:tc>
          <w:tcPr>
            <w:tcW w:type="pct" w:w="1600"/>
            <w:tcMar>
              <w:top w:type="dxa" w:w="60"/>
              <w:left w:type="dxa" w:w="120"/>
              <w:bottom w:type="dxa" w:w="60"/>
              <w:right w:type="dxa" w:w="120"/>
            </w:tcMar>
          </w:tcPr>
          <w:p>
            <w:pPr>
              <w:spacing w:line="276"/>
            </w:pPr>
            <w:r>
              <w:rPr>
                <w:rFonts w:ascii="Times New Roman" w:hAnsi="Times New Roman"/>
                <w:color w:val="2B2320"/>
                <w:sz w:val="18"/>
                <w:szCs w:val="18"/>
              </w:rPr>
              <w:t xml:space="preserve">campaign protocols V*, E*, ES*</w:t>
            </w:r>
          </w:p>
        </w:tc>
        <w:tc>
          <w:tcPr>
            <w:tcW w:type="pct" w:w="2100"/>
            <w:tcMar>
              <w:top w:type="dxa" w:w="60"/>
              <w:left w:type="dxa" w:w="120"/>
              <w:bottom w:type="dxa" w:w="60"/>
              <w:right w:type="dxa" w:w="120"/>
            </w:tcMar>
          </w:tcPr>
          <w:p>
            <w:pPr>
              <w:spacing w:line="276"/>
            </w:pPr>
            <w:r>
              <w:rPr>
                <w:rFonts w:ascii="Times New Roman" w:hAnsi="Times New Roman"/>
                <w:color w:val="2B2320"/>
                <w:sz w:val="18"/>
                <w:szCs w:val="18"/>
              </w:rPr>
              <w:t xml:space="preserve">E17 thresholds: precision = recall = 1, |Δγ| ≤ 1e−9</w:t>
            </w:r>
          </w:p>
        </w:tc>
      </w:tr>
      <w:tr>
        <w:trPr>
          <w:cantSplit/>
        </w:trPr>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Blind protocols</w:t>
            </w:r>
          </w:p>
        </w:tc>
        <w:tc>
          <w:tcPr>
            <w:tcW w:type="pct" w:w="1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E11, E17, V01, V23 preview</w:t>
            </w:r>
          </w:p>
        </w:tc>
        <w:tc>
          <w:tcPr>
            <w:tcW w:type="pct" w:w="2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SHA256 pins of detectors before validation</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Cross-language replication</w:t>
            </w:r>
          </w:p>
        </w:tc>
        <w:tc>
          <w:tcPr>
            <w:tcW w:type="pct" w:w="1600"/>
            <w:tcMar>
              <w:top w:type="dxa" w:w="60"/>
              <w:left w:type="dxa" w:w="120"/>
              <w:bottom w:type="dxa" w:w="60"/>
              <w:right w:type="dxa" w:w="120"/>
            </w:tcMar>
          </w:tcPr>
          <w:p>
            <w:pPr>
              <w:spacing w:line="276"/>
            </w:pPr>
            <w:r>
              <w:rPr>
                <w:rFonts w:ascii="Times New Roman" w:hAnsi="Times New Roman"/>
                <w:color w:val="2B2320"/>
                <w:sz w:val="18"/>
                <w:szCs w:val="18"/>
              </w:rPr>
              <w:t xml:space="preserve">E11/E16/E17, V20, E18</w:t>
            </w:r>
          </w:p>
        </w:tc>
        <w:tc>
          <w:tcPr>
            <w:tcW w:type="pct" w:w="2100"/>
            <w:tcMar>
              <w:top w:type="dxa" w:w="60"/>
              <w:left w:type="dxa" w:w="120"/>
              <w:bottom w:type="dxa" w:w="60"/>
              <w:right w:type="dxa" w:w="120"/>
            </w:tcMar>
          </w:tcPr>
          <w:p>
            <w:pPr>
              <w:spacing w:line="276"/>
            </w:pPr>
            <w:r>
              <w:rPr>
                <w:rFonts w:ascii="Times New Roman" w:hAnsi="Times New Roman"/>
                <w:color w:val="2B2320"/>
                <w:sz w:val="18"/>
                <w:szCs w:val="18"/>
              </w:rPr>
              <w:t xml:space="preserve">Julia BigFloat ↔ mpmath: 0.0 disagreement</w:t>
            </w:r>
          </w:p>
        </w:tc>
      </w:tr>
      <w:tr>
        <w:trPr>
          <w:cantSplit/>
        </w:trPr>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Negative results</w:t>
            </w:r>
          </w:p>
        </w:tc>
        <w:tc>
          <w:tcPr>
            <w:tcW w:type="pct" w:w="1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V1/V3/V6/V16, E18, Th5</w:t>
            </w:r>
          </w:p>
        </w:tc>
        <w:tc>
          <w:tcPr>
            <w:tcW w:type="pct" w:w="2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lattice ζ-correspondences not found</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Errata</w:t>
            </w:r>
          </w:p>
        </w:tc>
        <w:tc>
          <w:tcPr>
            <w:tcW w:type="pct" w:w="1600"/>
            <w:tcMar>
              <w:top w:type="dxa" w:w="60"/>
              <w:left w:type="dxa" w:w="120"/>
              <w:bottom w:type="dxa" w:w="60"/>
              <w:right w:type="dxa" w:w="120"/>
            </w:tcMar>
          </w:tcPr>
          <w:p>
            <w:pPr>
              <w:spacing w:line="276"/>
            </w:pPr>
            <w:r>
              <w:rPr>
                <w:rFonts w:ascii="Times New Roman" w:hAnsi="Times New Roman"/>
                <w:color w:val="2B2320"/>
                <w:sz w:val="18"/>
                <w:szCs w:val="18"/>
              </w:rPr>
              <w:t xml:space="preserve">V7 (B/C₀), E17 (γ₁₂), ES2a/ES5a</w:t>
            </w:r>
          </w:p>
        </w:tc>
        <w:tc>
          <w:tcPr>
            <w:tcW w:type="pct" w:w="2100"/>
            <w:tcMar>
              <w:top w:type="dxa" w:w="60"/>
              <w:left w:type="dxa" w:w="120"/>
              <w:bottom w:type="dxa" w:w="60"/>
              <w:right w:type="dxa" w:w="120"/>
            </w:tcMar>
          </w:tcPr>
          <w:p>
            <w:pPr>
              <w:spacing w:line="276"/>
            </w:pPr>
            <w:r>
              <w:rPr>
                <w:rFonts w:ascii="Times New Roman" w:hAnsi="Times New Roman"/>
                <w:color w:val="2B2320"/>
                <w:sz w:val="18"/>
                <w:szCs w:val="18"/>
              </w:rPr>
              <w:t xml:space="preserve">γ₁₂ = 56.446247697063399</w:t>
            </w:r>
          </w:p>
        </w:tc>
      </w:tr>
      <w:tr>
        <w:trPr>
          <w:cantSplit/>
        </w:trPr>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Obligation machine</w:t>
            </w:r>
          </w:p>
        </w:tc>
        <w:tc>
          <w:tcPr>
            <w:tcW w:type="pct" w:w="1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V13, formal/</w:t>
            </w:r>
          </w:p>
        </w:tc>
        <w:tc>
          <w:tcPr>
            <w:tcW w:type="pct" w:w="2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RH blocked: 4 hypotheses O08/O09/O11/O12</w:t>
            </w:r>
          </w:p>
        </w:tc>
      </w:tr>
    </w:tbl>
    <w:p>
      <w:pPr>
        <w:spacing w:after="120"/>
      </w:pPr>
    </w:p>
    <w:p>
      <w:pPr>
        <w:pStyle w:val="Heading1"/>
        <w:spacing w:after="160" w:before="360" w:line="312"/>
      </w:pPr>
      <w:bookmarkStart w:name="_Toc11" w:id="11"/>
      <w:r>
        <w:rPr>
          <w:rFonts w:ascii="Times New Roman" w:hAnsi="Times New Roman"/>
          <w:b/>
          <w:bCs/>
          <w:color w:val="2B2320"/>
          <w:sz w:val="32"/>
          <w:szCs w:val="32"/>
        </w:rPr>
        <w:t xml:space="preserve">Chapter 3. Architecture: Levels of One Machine</w:t>
      </w:r>
      <w:bookmarkEnd w:id="11"/>
    </w:p>
    <w:p>
      <w:pPr>
        <w:spacing w:after="160" w:line="312"/>
        <w:jc w:val="both"/>
      </w:pPr>
      <w:r>
        <w:rPr>
          <w:rFonts w:ascii="Times New Roman" w:hAnsi="Times New Roman"/>
          <w:color w:val="7A5C48"/>
          <w:sz w:val="23"/>
          <w:szCs w:val="23"/>
        </w:rPr>
        <w:t xml:space="preserve">The study is built not as a set of versions but as layers of one machine: the core supplies the mathematics, the processor turns it into an executable ISA, verification re-checks both layers with independent engines, the formal layer fixes the statements, the theorem layer makes them readable, and the spinor study drives the central claim to explicit models.</w:t>
      </w:r>
    </w:p>
    <w:p>
      <w:pPr>
        <w:pStyle w:val="Heading2"/>
        <w:spacing w:after="120" w:before="280" w:line="312"/>
      </w:pPr>
      <w:bookmarkStart w:name="_Toc12" w:id="12"/>
      <w:r>
        <w:rPr>
          <w:rFonts w:ascii="Times New Roman" w:hAnsi="Times New Roman"/>
          <w:b/>
          <w:bCs/>
          <w:color w:val="7A5C48"/>
          <w:sz w:val="26"/>
          <w:szCs w:val="26"/>
        </w:rPr>
        <w:t xml:space="preserve">3.1. The level map</w:t>
      </w:r>
      <w:bookmarkEnd w:id="12"/>
    </w:p>
    <w:p>
      <w:pPr>
        <w:spacing w:after="120" w:line="312"/>
        <w:jc w:val="both"/>
      </w:pPr>
      <w:r>
        <w:rPr>
          <w:rFonts w:ascii="Times New Roman" w:hAnsi="Times New Roman"/>
          <w:color w:val="2B2320"/>
          <w:sz w:val="22"/>
          <w:szCs w:val="22"/>
        </w:rPr>
        <w:t xml:space="preserve">Three working levels — the spectral core, the AB processor and the verification platform — plus three supporting ones: the formal layer, the theorem layer and the supplementary spinor study. The links between levels are not decorative: each link is certified by a number or a shared protocol.</w:t>
      </w:r>
    </w:p>
    <w:p>
      <w:pPr>
        <w:keepNext/>
        <w:spacing w:after="80" w:before="160"/>
        <w:jc w:val="center"/>
      </w:pPr>
      <w:r>
        <w:rPr>
          <w:rFonts w:ascii="Times New Roman" w:hAnsi="Times New Roman"/>
          <w:b/>
          <w:bCs/>
          <w:color w:val="7A5C48"/>
          <w:sz w:val="19"/>
          <w:szCs w:val="19"/>
        </w:rPr>
        <w:t xml:space="preserve">Table 3.1. Program levels</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1444"/>
        <w:gridCol w:w="2708"/>
        <w:gridCol w:w="1264"/>
        <w:gridCol w:w="3610"/>
      </w:tblGrid>
      <w:tr>
        <w:trPr>
          <w:cantSplit/>
          <w:tblHeader/>
        </w:trPr>
        <w:tc>
          <w:tcPr>
            <w:tcW w:type="pct" w:w="8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Level</w:t>
            </w:r>
          </w:p>
        </w:tc>
        <w:tc>
          <w:tcPr>
            <w:tcW w:type="pct" w:w="15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Folder</w:t>
            </w:r>
          </w:p>
        </w:tc>
        <w:tc>
          <w:tcPr>
            <w:tcW w:type="pct" w:w="7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Campaigns</w:t>
            </w:r>
          </w:p>
        </w:tc>
        <w:tc>
          <w:tcPr>
            <w:tcW w:type="pct" w:w="20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Essence</w:t>
            </w:r>
          </w:p>
        </w:tc>
      </w:tr>
      <w:tr>
        <w:trPr>
          <w:cantSplit/>
        </w:trPr>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Core</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V01–V19</w:t>
            </w:r>
          </w:p>
        </w:tc>
        <w:tc>
          <w:tcPr>
            <w:tcW w:type="pct" w:w="2000"/>
            <w:tcMar>
              <w:top w:type="dxa" w:w="60"/>
              <w:left w:type="dxa" w:w="120"/>
              <w:bottom w:type="dxa" w:w="60"/>
              <w:right w:type="dxa" w:w="120"/>
            </w:tcMar>
          </w:tcPr>
          <w:p>
            <w:pPr>
              <w:spacing w:line="276"/>
            </w:pPr>
            <w:r>
              <w:rPr>
                <w:rFonts w:ascii="Times New Roman" w:hAnsi="Times New Roman"/>
                <w:color w:val="2B2320"/>
                <w:sz w:val="18"/>
                <w:szCs w:val="18"/>
              </w:rPr>
              <w:t xml:space="preserve">blind spectrum, null models, critical line, V13, stitching V19; Th1–Th6</w:t>
            </w:r>
          </w:p>
        </w:tc>
      </w:tr>
      <w:tr>
        <w:trPr>
          <w:cantSplit/>
        </w:trPr>
        <w:tc>
          <w:tcPr>
            <w:tcW w:type="pct" w:w="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Processor</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modules/processor_ab</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V20 (P0)</w:t>
            </w:r>
          </w:p>
        </w:tc>
        <w:tc>
          <w:tcPr>
            <w:tcW w:type="pct" w:w="2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AB-cloud ISA, Givens-QR compiler, "reads, does not carry"</w:t>
            </w:r>
          </w:p>
        </w:tc>
      </w:tr>
      <w:tr>
        <w:trPr>
          <w:cantSplit/>
        </w:trPr>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Verification</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E01–E18</w:t>
            </w:r>
          </w:p>
        </w:tc>
        <w:tc>
          <w:tcPr>
            <w:tcW w:type="pct" w:w="2000"/>
            <w:tcMar>
              <w:top w:type="dxa" w:w="60"/>
              <w:left w:type="dxa" w:w="120"/>
              <w:bottom w:type="dxa" w:w="60"/>
              <w:right w:type="dxa" w:w="120"/>
            </w:tcMar>
          </w:tcPr>
          <w:p>
            <w:pPr>
              <w:spacing w:line="276"/>
            </w:pPr>
            <w:r>
              <w:rPr>
                <w:rFonts w:ascii="Times New Roman" w:hAnsi="Times New Roman"/>
                <w:color w:val="2B2320"/>
                <w:sz w:val="18"/>
                <w:szCs w:val="18"/>
              </w:rPr>
              <w:t xml:space="preserve">Julia platform: blind protocols, Riemann–Siegel, class B</w:t>
            </w:r>
          </w:p>
        </w:tc>
      </w:tr>
      <w:tr>
        <w:trPr>
          <w:cantSplit/>
        </w:trPr>
        <w:tc>
          <w:tcPr>
            <w:tcW w:type="pct" w:w="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Spinor</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research/realtime_spinor_memory</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ES1–ES5</w:t>
            </w:r>
          </w:p>
        </w:tc>
        <w:tc>
          <w:tcPr>
            <w:tcW w:type="pct" w:w="2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machine with no long-term memory: θ = π/2, π/3, π/7</w:t>
            </w:r>
          </w:p>
        </w:tc>
      </w:tr>
      <w:tr>
        <w:trPr>
          <w:cantSplit/>
        </w:trPr>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Formal layer</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formal/</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A1–A6</w:t>
            </w:r>
          </w:p>
        </w:tc>
        <w:tc>
          <w:tcPr>
            <w:tcW w:type="pct" w:w="2000"/>
            <w:tcMar>
              <w:top w:type="dxa" w:w="60"/>
              <w:left w:type="dxa" w:w="120"/>
              <w:bottom w:type="dxa" w:w="60"/>
              <w:right w:type="dxa" w:w="120"/>
            </w:tcMar>
          </w:tcPr>
          <w:p>
            <w:pPr>
              <w:spacing w:line="276"/>
            </w:pPr>
            <w:r>
              <w:rPr>
                <w:rFonts w:ascii="Times New Roman" w:hAnsi="Times New Roman"/>
                <w:color w:val="2B2320"/>
                <w:sz w:val="18"/>
                <w:szCs w:val="18"/>
              </w:rPr>
              <w:t xml:space="preserve">Lean 4 / Coq / Agda / Isabelle, no sorry/admit</w:t>
            </w:r>
          </w:p>
        </w:tc>
      </w:tr>
      <w:tr>
        <w:trPr>
          <w:cantSplit/>
        </w:trPr>
        <w:tc>
          <w:tcPr>
            <w:tcW w:type="pct" w:w="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Theorem layer</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theorems_lemmas/</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w:t>
            </w:r>
          </w:p>
        </w:tc>
        <w:tc>
          <w:tcPr>
            <w:tcW w:type="pct" w:w="2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36 documents, 20 four-dimension tiles</w:t>
            </w:r>
          </w:p>
        </w:tc>
      </w:tr>
    </w:tbl>
    <w:p>
      <w:pPr>
        <w:spacing w:after="120"/>
      </w:pPr>
    </w:p>
    <w:p>
      <w:pPr>
        <w:pStyle w:val="Heading2"/>
        <w:spacing w:after="120" w:before="280" w:line="312"/>
      </w:pPr>
      <w:bookmarkStart w:name="_Toc13" w:id="13"/>
      <w:r>
        <w:rPr>
          <w:rFonts w:ascii="Times New Roman" w:hAnsi="Times New Roman"/>
          <w:b/>
          <w:bCs/>
          <w:color w:val="7A5C48"/>
          <w:sz w:val="26"/>
          <w:szCs w:val="26"/>
        </w:rPr>
        <w:t xml:space="preserve">3.2. Numerical links between levels</w:t>
      </w:r>
      <w:bookmarkEnd w:id="13"/>
    </w:p>
    <w:p>
      <w:pPr>
        <w:spacing w:after="120" w:line="312"/>
        <w:jc w:val="both"/>
      </w:pPr>
      <w:r>
        <w:rPr>
          <w:rFonts w:ascii="Times New Roman" w:hAnsi="Times New Roman"/>
          <w:color w:val="2B2320"/>
          <w:sz w:val="22"/>
          <w:szCs w:val="22"/>
        </w:rPr>
        <w:t xml:space="preserve">The architecture is certified by links: pairs "level — level" that share a number. The key links:</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b/>
          <w:bCs/>
          <w:color w:val="2B2320"/>
          <w:sz w:val="22"/>
          <w:szCs w:val="22"/>
        </w:rPr>
        <w:t xml:space="preserve">Core V7 ↔ verification E11/E17</w:t>
      </w:r>
      <w:r>
        <w:rPr>
          <w:rFonts w:ascii="Times New Roman" w:hAnsi="Times New Roman"/>
          <w:color w:val="2B2320"/>
          <w:sz w:val="22"/>
          <w:szCs w:val="22"/>
        </w:rPr>
        <w:t xml:space="preserve">: the trace of H</w:t>
      </w:r>
      <w:r>
        <w:rPr>
          <w:rFonts w:ascii="Times New Roman" w:hAnsi="Times New Roman"/>
          <w:color w:val="2B2320"/>
          <w:sz w:val="22"/>
          <w:szCs w:val="22"/>
          <w:vertAlign w:val="subscript"/>
        </w:rPr>
        <w:t xml:space="preserve">ξ</w:t>
      </w:r>
      <w:r>
        <w:rPr>
          <w:rFonts w:ascii="Times New Roman" w:hAnsi="Times New Roman"/>
          <w:color w:val="2B2320"/>
          <w:sz w:val="22"/>
          <w:szCs w:val="22"/>
        </w:rPr>
        <w:t xml:space="preserve"> carries Λ(n)/√n (Th6), zeros are read rather than stored; correlation r = 0.9996, zeros in storage — 0.</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b/>
          <w:bCs/>
          <w:color w:val="2B2320"/>
          <w:sz w:val="22"/>
          <w:szCs w:val="22"/>
        </w:rPr>
        <w:t xml:space="preserve">Processor V20 ↔ verification E18</w:t>
      </w:r>
      <w:r>
        <w:rPr>
          <w:rFonts w:ascii="Times New Roman" w:hAnsi="Times New Roman"/>
          <w:color w:val="2B2320"/>
          <w:sz w:val="22"/>
          <w:szCs w:val="22"/>
        </w:rPr>
        <w:t xml:space="preserve">: one ISA, equal constraints, five baselines; speed-up ×59,000 in time; 2q: 10 gates versus the KAK optimum 3 — outside the ISA class, honestly declared.</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b/>
          <w:bCs/>
          <w:color w:val="2B2320"/>
          <w:sz w:val="22"/>
          <w:szCs w:val="22"/>
        </w:rPr>
        <w:t xml:space="preserve">E17 ↔ V23 preview</w:t>
      </w:r>
      <w:r>
        <w:rPr>
          <w:rFonts w:ascii="Times New Roman" w:hAnsi="Times New Roman"/>
          <w:color w:val="2B2320"/>
          <w:sz w:val="22"/>
          <w:szCs w:val="22"/>
        </w:rPr>
        <w:t xml:space="preserve">: blind zero reading by two engines — 649/649 + 639/639, cross-engine 0.0 bit-exact.</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b/>
          <w:bCs/>
          <w:color w:val="2B2320"/>
          <w:sz w:val="22"/>
          <w:szCs w:val="22"/>
        </w:rPr>
        <w:t xml:space="preserve">V13 ↔ all levels</w:t>
      </w:r>
      <w:r>
        <w:rPr>
          <w:rFonts w:ascii="Times New Roman" w:hAnsi="Times New Roman"/>
          <w:color w:val="2B2320"/>
          <w:sz w:val="22"/>
          <w:szCs w:val="22"/>
        </w:rPr>
        <w:t xml:space="preserve">: the obligation machine keeps the RH conclusion blocked regardless of numerical successes.</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b/>
          <w:bCs/>
          <w:color w:val="2B2320"/>
          <w:sz w:val="22"/>
          <w:szCs w:val="22"/>
        </w:rPr>
        <w:t xml:space="preserve">Th6 ↔ spinor study</w:t>
      </w:r>
      <w:r>
        <w:rPr>
          <w:rFonts w:ascii="Times New Roman" w:hAnsi="Times New Roman"/>
          <w:color w:val="2B2320"/>
          <w:sz w:val="22"/>
          <w:szCs w:val="22"/>
        </w:rPr>
        <w:t xml:space="preserve">: the trace formula as "reading without storing" is driven to volatile-state models θ = π/2, π/3, π/7.</w:t>
      </w:r>
    </w:p>
    <w:p>
      <w:pPr>
        <w:spacing w:after="120" w:line="312"/>
        <w:jc w:val="both"/>
      </w:pPr>
      <w:r>
        <w:rPr>
          <w:rFonts w:ascii="Times New Roman" w:hAnsi="Times New Roman"/>
          <w:color w:val="2B2320"/>
          <w:sz w:val="22"/>
          <w:szCs w:val="22"/>
        </w:rPr>
        <w:t xml:space="preserve">The level map and data flow are maintained in docs/ARCHITECTURE.md and rebuilt automatically; any change of the levels is reflected in this map in the same commit. The four-dimension tiles (metric, instance behaviour, control, threshold) are built only from committed verdicts — this makes the visual layer of the program as verifiable as its code.</w:t>
      </w:r>
    </w:p>
    <w:p>
      <w:pPr>
        <w:spacing w:after="60" w:before="160"/>
        <w:jc w:val="center"/>
      </w:pPr>
      <w:r>
        <w:drawing>
          <wp:inline distT="0" distB="0" distL="0" distR="0">
            <wp:extent cx="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0" cy="3810000"/>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3.1. The Th4 (Li formula) four-dimension tile: the λ_n ladder, two-path agreement, tail, gate control. 600 dpi.</w:t>
      </w:r>
    </w:p>
    <w:p>
      <w:pPr>
        <w:pStyle w:val="Heading2"/>
        <w:spacing w:after="120" w:before="280" w:line="312"/>
      </w:pPr>
      <w:bookmarkStart w:name="_Toc14" w:id="14"/>
      <w:r>
        <w:rPr>
          <w:rFonts w:ascii="Times New Roman" w:hAnsi="Times New Roman"/>
          <w:b/>
          <w:bCs/>
          <w:color w:val="7A5C48"/>
          <w:sz w:val="26"/>
          <w:szCs w:val="26"/>
        </w:rPr>
        <w:t xml:space="preserve">3.3. Data flow</w:t>
      </w:r>
      <w:bookmarkEnd w:id="14"/>
    </w:p>
    <w:p>
      <w:pPr>
        <w:spacing w:after="120" w:line="312"/>
        <w:jc w:val="both"/>
      </w:pPr>
      <w:r>
        <w:rPr>
          <w:rFonts w:ascii="Times New Roman" w:hAnsi="Times New Roman"/>
          <w:color w:val="2B2320"/>
          <w:sz w:val="22"/>
          <w:szCs w:val="22"/>
        </w:rPr>
        <w:t xml:space="preserve">Data in the program moves in one direction: from campaigns to derived artifacts. Core verdict files (modules/core_spectrum/data/*_verdict.json) feed the theorems_lemmas tiles and figures_tiled; verification verdicts (verdicts_master.json) feed the datasets and the timeline; the V20 verdict feeds the atlas; ES1–ES5 verdicts feed the spinor figures and documents. The checkpoint is the package validator: it verifies that every derived artifact is consistent with its source. There is no reverse dependency: derived artifacts are never inputs of campaigns, which excludes circularity.</w:t>
      </w:r>
    </w:p>
    <w:p>
      <w:pPr>
        <w:spacing w:after="120" w:line="312"/>
        <w:jc w:val="both"/>
      </w:pPr>
      <w:r>
        <w:rPr>
          <w:rFonts w:ascii="Times New Roman" w:hAnsi="Times New Roman"/>
          <w:color w:val="2B2320"/>
          <w:sz w:val="22"/>
          <w:szCs w:val="22"/>
        </w:rPr>
        <w:t xml:space="preserve">The same principle — "from verdict to artifact" — defines this monograph: the tables of appendices A–B are built directly from datasets/campaign_timeline.csv and datasets/flagship_numbers.csv, which, in turn, are rebuilt from verdicts. The reproducibility chain is short and checkable: verdict → dataset → monograph table.</w:t>
      </w:r>
    </w:p>
    <w:p>
      <w:pPr>
        <w:pStyle w:val="Heading1"/>
        <w:spacing w:after="160" w:before="360" w:line="312"/>
      </w:pPr>
      <w:bookmarkStart w:name="_Toc15" w:id="15"/>
      <w:r>
        <w:rPr>
          <w:rFonts w:ascii="Times New Roman" w:hAnsi="Times New Roman"/>
          <w:b/>
          <w:bCs/>
          <w:color w:val="2B2320"/>
          <w:sz w:val="32"/>
          <w:szCs w:val="32"/>
        </w:rPr>
        <w:t xml:space="preserve">Chapter 4. The Spectral Core: Blind Spectrum and Null Models</w:t>
      </w:r>
      <w:bookmarkEnd w:id="15"/>
    </w:p>
    <w:p>
      <w:pPr>
        <w:spacing w:after="160" w:line="312"/>
        <w:jc w:val="both"/>
      </w:pPr>
      <w:r>
        <w:rPr>
          <w:rFonts w:ascii="Times New Roman" w:hAnsi="Times New Roman"/>
          <w:color w:val="7A5C48"/>
          <w:sz w:val="23"/>
          <w:szCs w:val="23"/>
        </w:rPr>
        <w:t xml:space="preserve">The spectral core answers the first question of the program: can one, without a table of ζ zeros, obtain a spectrum statistically indistinguishable from them — and distinguish arithmetic from randomness? Campaigns V01–V06 give a positive answer with a caveat that turns out to be productive: statistics — yes, individual ordinates — no.</w:t>
      </w:r>
    </w:p>
    <w:p>
      <w:pPr>
        <w:pStyle w:val="Heading2"/>
        <w:spacing w:after="120" w:before="280" w:line="312"/>
      </w:pPr>
      <w:bookmarkStart w:name="_Toc16" w:id="16"/>
      <w:r>
        <w:rPr>
          <w:rFonts w:ascii="Times New Roman" w:hAnsi="Times New Roman"/>
          <w:b/>
          <w:bCs/>
          <w:color w:val="7A5C48"/>
          <w:sz w:val="26"/>
          <w:szCs w:val="26"/>
        </w:rPr>
        <w:t xml:space="preserve">4.1. Campaign V01: the blind spectrum</w:t>
      </w:r>
      <w:bookmarkEnd w:id="16"/>
    </w:p>
    <w:p>
      <w:pPr>
        <w:spacing w:after="120" w:line="312"/>
        <w:jc w:val="both"/>
      </w:pPr>
      <w:r>
        <w:rPr>
          <w:rFonts w:ascii="Times New Roman" w:hAnsi="Times New Roman"/>
          <w:color w:val="2B2320"/>
          <w:sz w:val="22"/>
          <w:szCs w:val="22"/>
        </w:rPr>
        <w:t xml:space="preserve">V01 is the basic blind protocol of the core: the operator is built on a calibration set (600 ordinates) and then tested on another set (600 ordinates) that the detector has never seen. The result: calibration correlations r_cal within the null zone, test ordinates inside the expected γ range (939.660940615 … 1648.270598223), but </w:t>
      </w:r>
      <w:r>
        <w:rPr>
          <w:rFonts w:ascii="Times New Roman" w:hAnsi="Times New Roman"/>
          <w:b/>
          <w:bCs/>
          <w:color w:val="2B2320"/>
          <w:sz w:val="22"/>
          <w:szCs w:val="22"/>
        </w:rPr>
        <w:t xml:space="preserve">individual</w:t>
      </w:r>
      <w:r>
        <w:rPr>
          <w:rFonts w:ascii="Times New Roman" w:hAnsi="Times New Roman"/>
          <w:color w:val="2B2320"/>
          <w:sz w:val="22"/>
          <w:szCs w:val="22"/>
        </w:rPr>
        <w:t xml:space="preserve"> ordinates are not predicted. In other words, the model reproduces the statistical structure of the spectrum but does not "guess" particular zeros — and this is declared as a result, not hidden.</w:t>
      </w:r>
    </w:p>
    <w:p>
      <w:pPr>
        <w:spacing w:after="120" w:line="312"/>
        <w:jc w:val="both"/>
      </w:pPr>
      <w:r>
        <w:rPr>
          <w:rFonts w:ascii="Times New Roman" w:hAnsi="Times New Roman"/>
          <w:color w:val="2B2320"/>
          <w:sz w:val="22"/>
          <w:szCs w:val="22"/>
        </w:rPr>
        <w:t xml:space="preserve">This caveat formulates the honest boundary of the core: the blind spectrum is a consistency control, not an oracle. It verifies that the operator construction contains no hidden leak of reference data — otherwise the test correlations would leave the null zone. The negative part of V01 (the absence of ordinate prediction) works as a negative control — just like a control group in experimental science.</w:t>
      </w:r>
    </w:p>
    <w:p>
      <w:pPr>
        <w:pStyle w:val="Heading2"/>
        <w:spacing w:after="120" w:before="280" w:line="312"/>
      </w:pPr>
      <w:bookmarkStart w:name="_Toc17" w:id="17"/>
      <w:r>
        <w:rPr>
          <w:rFonts w:ascii="Times New Roman" w:hAnsi="Times New Roman"/>
          <w:b/>
          <w:bCs/>
          <w:color w:val="7A5C48"/>
          <w:sz w:val="26"/>
          <w:szCs w:val="26"/>
        </w:rPr>
        <w:t xml:space="preserve">4.2. Campaign V02: null models and the GUE class</w:t>
      </w:r>
      <w:bookmarkEnd w:id="17"/>
    </w:p>
    <w:p>
      <w:pPr>
        <w:spacing w:after="120" w:line="312"/>
        <w:jc w:val="both"/>
      </w:pPr>
      <w:r>
        <w:rPr>
          <w:rFonts w:ascii="Times New Roman" w:hAnsi="Times New Roman"/>
          <w:color w:val="2B2320"/>
          <w:sz w:val="22"/>
          <w:szCs w:val="22"/>
        </w:rPr>
        <w:t xml:space="preserve">V02 compares the statistics of the AB cloud with four null models: M0 (AB cloud), N1 (random phases), N4 and other references. The key quantities — the mean nearest-neighbour coefficient r_mean, the level-number variance Σ₂, the Dyson–Mehta statistic Δ₃ and the Kolmogorov–Smirnov statistic against GUE. The result: the AB cloud falls into the GUE class together with N1/N4; r_mean = 0.6093 for M0 versus 0.5837 for N1; the KS statistic is 0.0499. The specificity of the arithmetic is measured not by ⟨r⟩ but by fine structure — a conclusion later confirmed by V3 and V16 on lattices.</w:t>
      </w:r>
    </w:p>
    <w:p>
      <w:pPr>
        <w:spacing w:after="120" w:line="312"/>
        <w:jc w:val="both"/>
      </w:pPr>
      <w:r>
        <w:rPr>
          <w:rFonts w:ascii="Times New Roman" w:hAnsi="Times New Roman"/>
          <w:color w:val="2B2320"/>
          <w:sz w:val="22"/>
          <w:szCs w:val="22"/>
        </w:rPr>
        <w:t xml:space="preserve">The practical meaning of V02 is that it calibrates expectations: agreement with GUE is a necessary but not sufficient condition of "zeta-likeness". Any model claiming a connection with ζ must first pass the GUE test, and only then is its arithmetic specificity checked — the trace-prime correlation (V7), constant agreement, the behavioural tests V16–V18. This hierarchy of tests excludes the "GUE and that is all" trap.</w:t>
      </w:r>
    </w:p>
    <w:p>
      <w:pPr>
        <w:pStyle w:val="Heading2"/>
        <w:spacing w:after="120" w:before="280" w:line="312"/>
      </w:pPr>
      <w:bookmarkStart w:name="_Toc18" w:id="18"/>
      <w:r>
        <w:rPr>
          <w:rFonts w:ascii="Times New Roman" w:hAnsi="Times New Roman"/>
          <w:b/>
          <w:bCs/>
          <w:color w:val="7A5C48"/>
          <w:sz w:val="26"/>
          <w:szCs w:val="26"/>
        </w:rPr>
        <w:t xml:space="preserve">4.3. Campaigns V03–V06: lattices and the honest negative</w:t>
      </w:r>
      <w:bookmarkEnd w:id="18"/>
    </w:p>
    <w:p>
      <w:pPr>
        <w:spacing w:after="120" w:line="312"/>
        <w:jc w:val="both"/>
      </w:pPr>
      <w:r>
        <w:rPr>
          <w:rFonts w:ascii="Times New Roman" w:hAnsi="Times New Roman"/>
          <w:color w:val="2B2320"/>
          <w:sz w:val="22"/>
          <w:szCs w:val="22"/>
        </w:rPr>
        <w:t xml:space="preserve">Campaigns V03–V06 move the question to lattices: do discrete models (dressed tori, lattice Hamiltonians) statistically and arithmetically reproduce ζ? The answer is no: the σ-scan of V03 finds no zone where D_KS drops to the ζ level; V4 (Hermiticity) and V5 yield construction certificates; V6 closes the lattice direction with a negative verdict. Later V16 independently repeats this conclusion on different lattices — the negative result is robust to a change of construction, which is precisely what makes it a finding rather than an accident.</w:t>
      </w:r>
    </w:p>
    <w:p>
      <w:pPr>
        <w:spacing w:after="120" w:line="312"/>
        <w:jc w:val="both"/>
      </w:pPr>
      <w:r>
        <w:rPr>
          <w:rFonts w:ascii="Times New Roman" w:hAnsi="Times New Roman"/>
          <w:color w:val="2B2320"/>
          <w:sz w:val="22"/>
          <w:szCs w:val="22"/>
        </w:rPr>
        <w:t xml:space="preserve">This block of campaigns is methodologically important: it shows that the program knows how to obtain negative answers and does not turn wishful thinking into results. Each lattice campaign had a pre-registered threshold "find the agreement zone", and the zone was not found — verdicts recorded, protocols published. Precisely because V03–V06 could fail and did fail, the subsequent positive results read as data, not as promises.</w:t>
      </w:r>
    </w:p>
    <w:p>
      <w:pPr>
        <w:pStyle w:val="Heading1"/>
        <w:spacing w:after="160" w:before="360" w:line="312"/>
      </w:pPr>
      <w:bookmarkStart w:name="_Toc19" w:id="19"/>
      <w:r>
        <w:rPr>
          <w:rFonts w:ascii="Times New Roman" w:hAnsi="Times New Roman"/>
          <w:b/>
          <w:bCs/>
          <w:color w:val="2B2320"/>
          <w:sz w:val="32"/>
          <w:szCs w:val="32"/>
        </w:rPr>
        <w:t xml:space="preserve">Chapter 5. The Critical Line and the Trace Formula</w:t>
      </w:r>
      <w:bookmarkEnd w:id="19"/>
    </w:p>
    <w:p>
      <w:pPr>
        <w:spacing w:after="160" w:line="312"/>
        <w:jc w:val="both"/>
      </w:pPr>
      <w:r>
        <w:rPr>
          <w:rFonts w:ascii="Times New Roman" w:hAnsi="Times New Roman"/>
          <w:color w:val="7A5C48"/>
          <w:sz w:val="23"/>
          <w:szCs w:val="23"/>
        </w:rPr>
        <w:t xml:space="preserve">Campaigns V07–V12 connect the core construction with classical theory: the trace carries the arithmetic of the primes, the critical line is tested by spectral symmetry, and the accuracy of computations is protected by Kato-type certificates.</w:t>
      </w:r>
    </w:p>
    <w:p>
      <w:pPr>
        <w:pStyle w:val="Heading2"/>
        <w:spacing w:after="120" w:before="280" w:line="312"/>
      </w:pPr>
      <w:bookmarkStart w:name="_Toc20" w:id="20"/>
      <w:r>
        <w:rPr>
          <w:rFonts w:ascii="Times New Roman" w:hAnsi="Times New Roman"/>
          <w:b/>
          <w:bCs/>
          <w:color w:val="7A5C48"/>
          <w:sz w:val="26"/>
          <w:szCs w:val="26"/>
        </w:rPr>
        <w:t xml:space="preserve">5.1. Campaign V7 and Theorem Th6: trace ↔ primes</w:t>
      </w:r>
      <w:bookmarkEnd w:id="20"/>
    </w:p>
    <w:p>
      <w:pPr>
        <w:spacing w:after="120" w:line="312"/>
        <w:jc w:val="both"/>
      </w:pPr>
      <w:r>
        <w:rPr>
          <w:rFonts w:ascii="Times New Roman" w:hAnsi="Times New Roman"/>
          <w:color w:val="2B2320"/>
          <w:sz w:val="22"/>
          <w:szCs w:val="22"/>
        </w:rPr>
        <w:t xml:space="preserve">Campaign V7 is the arithmetic heart of the core. The heat trace K(x) = Tr e</w:t>
      </w:r>
      <w:r>
        <w:rPr>
          <w:rFonts w:ascii="Times New Roman" w:hAnsi="Times New Roman"/>
          <w:color w:val="2B2320"/>
          <w:sz w:val="22"/>
          <w:szCs w:val="22"/>
          <w:vertAlign w:val="superscript"/>
        </w:rPr>
        <w:t xml:space="preserve">−xH</w:t>
      </w:r>
      <w:r>
        <w:rPr>
          <w:rFonts w:ascii="Times New Roman" w:hAnsi="Times New Roman"/>
          <w:color w:val="2B2320"/>
          <w:sz w:val="22"/>
          <w:szCs w:val="22"/>
        </w:rPr>
        <w:t xml:space="preserve"> of the constructed operator expands in a series over primes: the coefficients carry the von Mangoldt function Λ(n)/√n — this is the content of Theorem Th6 (the Guinand–Weil reduction A3: Q(a) ↔ ζ′/ζ). Numerically, the correlation between the trace and the prime sum equals </w:t>
      </w:r>
      <w:r>
        <w:rPr>
          <w:rFonts w:ascii="Times New Roman" w:hAnsi="Times New Roman"/>
          <w:b/>
          <w:bCs/>
          <w:color w:val="2B2320"/>
          <w:sz w:val="22"/>
          <w:szCs w:val="22"/>
        </w:rPr>
        <w:t xml:space="preserve">r = 0.9996</w:t>
      </w:r>
      <w:r>
        <w:rPr>
          <w:rFonts w:ascii="Times New Roman" w:hAnsi="Times New Roman"/>
          <w:color w:val="2B2320"/>
          <w:sz w:val="22"/>
          <w:szCs w:val="22"/>
        </w:rPr>
        <w:t xml:space="preserve"> against the control value 0.76 on a lattice model without arithmetic. The gap of 0.24 is the measured "arithmetic specificity" of the construction.</w:t>
      </w:r>
    </w:p>
    <w:p>
      <w:pPr>
        <w:spacing w:after="120" w:line="312"/>
        <w:jc w:val="both"/>
      </w:pPr>
      <w:r>
        <w:rPr>
          <w:rFonts w:ascii="Times New Roman" w:hAnsi="Times New Roman"/>
          <w:color w:val="2B2320"/>
          <w:sz w:val="22"/>
          <w:szCs w:val="22"/>
        </w:rPr>
        <w:t xml:space="preserve">This is where the "reads, does not carry" principle appears in its first form: the trace is computed at request time from the matrix H</w:t>
      </w:r>
      <w:r>
        <w:rPr>
          <w:rFonts w:ascii="Times New Roman" w:hAnsi="Times New Roman"/>
          <w:color w:val="2B2320"/>
          <w:sz w:val="22"/>
          <w:szCs w:val="22"/>
          <w:vertAlign w:val="subscript"/>
        </w:rPr>
        <w:t xml:space="preserve">ξ</w:t>
      </w:r>
      <w:r>
        <w:rPr>
          <w:rFonts w:ascii="Times New Roman" w:hAnsi="Times New Roman"/>
          <w:color w:val="2B2320"/>
          <w:sz w:val="22"/>
          <w:szCs w:val="22"/>
        </w:rPr>
        <w:t xml:space="preserve">, no table of primes or zeros is stored; the knowledge lives in six constants of the formula. The erratum of the constants B/C₀, found and fixed during V7, additionally hardened the discipline: cross-checking constants against an independent derivation became a mandatory part of the protocol.</w:t>
      </w:r>
    </w:p>
    <w:tbl>
      <w:tblPr>
        <w:tblW w:type="pct" w:w="2750"/>
        <w:jc w:val="center"/>
        <w:tblBorders>
          <w:top w:val="single" w:color="C96F4A" w:sz="6"/>
          <w:left w:val="single" w:color="C96F4A" w:sz="6"/>
          <w:bottom w:val="single" w:color="C96F4A" w:sz="6"/>
          <w:right w:val="single" w:color="C96F4A" w:sz="6"/>
          <w:insideH w:val="none" w:color="FFFFFF" w:sz="0"/>
          <w:insideV w:val="none" w:color="FFFFFF" w:sz="0"/>
        </w:tblBorders>
      </w:tblPr>
      <w:tblGrid>
        <w:gridCol w:w="4964"/>
      </w:tblGrid>
      <w:tr>
        <w:trPr>
          <w:cantSplit/>
        </w:trPr>
        <w:tc>
          <w:tcPr>
            <w:shd w:fill="F5EDE8" w:val="clear"/>
            <w:tcMar>
              <w:top w:type="dxa" w:w="120"/>
              <w:left w:type="dxa" w:w="200"/>
              <w:bottom w:type="dxa" w:w="120"/>
              <w:right w:type="dxa" w:w="200"/>
            </w:tcMar>
          </w:tcPr>
          <w:p>
            <w:pPr>
              <w:spacing w:after="40"/>
              <w:jc w:val="center"/>
            </w:pPr>
            <w:r>
              <w:rPr>
                <w:rFonts w:ascii="Times New Roman" w:hAnsi="Times New Roman"/>
                <w:b/>
                <w:bCs/>
                <w:color w:val="C96F4A"/>
                <w:sz w:val="36"/>
                <w:szCs w:val="36"/>
              </w:rPr>
              <w:t xml:space="preserve">r = 0.9996</w:t>
            </w:r>
          </w:p>
          <w:p>
            <w:pPr>
              <w:jc w:val="center"/>
            </w:pPr>
            <w:r>
              <w:rPr>
                <w:rFonts w:ascii="Times New Roman" w:hAnsi="Times New Roman"/>
                <w:color w:val="8A8078"/>
                <w:sz w:val="17"/>
                <w:szCs w:val="17"/>
              </w:rPr>
              <w:t xml:space="preserve">trace ↔ primes correlation (V7/Th6); lattice control — 0.76</w:t>
            </w:r>
          </w:p>
        </w:tc>
      </w:tr>
    </w:tbl>
    <w:p>
      <w:pPr>
        <w:spacing w:after="100"/>
      </w:pPr>
    </w:p>
    <w:p>
      <w:pPr>
        <w:pStyle w:val="Heading2"/>
        <w:spacing w:after="120" w:before="280" w:line="312"/>
      </w:pPr>
      <w:bookmarkStart w:name="_Toc21" w:id="21"/>
      <w:r>
        <w:rPr>
          <w:rFonts w:ascii="Times New Roman" w:hAnsi="Times New Roman"/>
          <w:b/>
          <w:bCs/>
          <w:color w:val="7A5C48"/>
          <w:sz w:val="26"/>
          <w:szCs w:val="26"/>
        </w:rPr>
        <w:t xml:space="preserve">5.2. Symmetry and the critical line (Th1, Th2)</w:t>
      </w:r>
      <w:bookmarkEnd w:id="21"/>
    </w:p>
    <w:p>
      <w:pPr>
        <w:spacing w:after="120" w:line="312"/>
        <w:jc w:val="both"/>
      </w:pPr>
      <w:r>
        <w:rPr>
          <w:rFonts w:ascii="Times New Roman" w:hAnsi="Times New Roman"/>
          <w:color w:val="2B2320"/>
          <w:sz w:val="22"/>
          <w:szCs w:val="22"/>
        </w:rPr>
        <w:t xml:space="preserve">Theorem Th1 (campaign V4) fixes the fundamental property: Hermiticity H</w:t>
      </w:r>
      <w:r>
        <w:rPr>
          <w:rFonts w:ascii="Times New Roman" w:hAnsi="Times New Roman"/>
          <w:color w:val="2B2320"/>
          <w:sz w:val="22"/>
          <w:szCs w:val="22"/>
          <w:vertAlign w:val="subscript"/>
        </w:rPr>
        <w:t xml:space="preserve">L</w:t>
      </w:r>
      <w:r>
        <w:rPr>
          <w:rFonts w:ascii="Times New Roman" w:hAnsi="Times New Roman"/>
          <w:color w:val="2B2320"/>
          <w:sz w:val="22"/>
          <w:szCs w:val="22"/>
        </w:rPr>
        <w:t xml:space="preserve"> = H</w:t>
      </w:r>
      <w:r>
        <w:rPr>
          <w:rFonts w:ascii="Times New Roman" w:hAnsi="Times New Roman"/>
          <w:color w:val="2B2320"/>
          <w:sz w:val="22"/>
          <w:szCs w:val="22"/>
          <w:vertAlign w:val="subscript"/>
        </w:rPr>
        <w:t xml:space="preserve">L</w:t>
      </w:r>
      <w:r>
        <w:rPr>
          <w:rFonts w:ascii="Times New Roman" w:hAnsi="Times New Roman"/>
          <w:color w:val="2B2320"/>
          <w:sz w:val="22"/>
          <w:szCs w:val="22"/>
          <w:vertAlign w:val="superscript"/>
        </w:rPr>
        <w:t xml:space="preserve">†</w:t>
      </w:r>
      <w:r>
        <w:rPr>
          <w:rFonts w:ascii="Times New Roman" w:hAnsi="Times New Roman"/>
          <w:color w:val="2B2320"/>
          <w:sz w:val="22"/>
          <w:szCs w:val="22"/>
        </w:rPr>
        <w:t xml:space="preserve"> implies a real spectrum, and at α = ½ with W = 0 the spectrum is symmetric λ ↔ −λ — the discrete image of the functional equation of ζ. Certificate: ‖H − H</w:t>
      </w:r>
      <w:r>
        <w:rPr>
          <w:rFonts w:ascii="Times New Roman" w:hAnsi="Times New Roman"/>
          <w:color w:val="2B2320"/>
          <w:sz w:val="22"/>
          <w:szCs w:val="22"/>
          <w:vertAlign w:val="superscript"/>
        </w:rPr>
        <w:t xml:space="preserve">†</w:t>
      </w:r>
      <w:r>
        <w:rPr>
          <w:rFonts w:ascii="Times New Roman" w:hAnsi="Times New Roman"/>
          <w:color w:val="2B2320"/>
          <w:sz w:val="22"/>
          <w:szCs w:val="22"/>
        </w:rPr>
        <w:t xml:space="preserve">‖ = 0.0 exactly. Theorem Th2 (campaign V8) lifts the statement to self-adjointness on ℂ</w:t>
      </w:r>
      <w:r>
        <w:rPr>
          <w:rFonts w:ascii="Times New Roman" w:hAnsi="Times New Roman"/>
          <w:color w:val="2B2320"/>
          <w:sz w:val="22"/>
          <w:szCs w:val="22"/>
          <w:vertAlign w:val="superscript"/>
        </w:rPr>
        <w:t xml:space="preserve">N</w:t>
      </w:r>
      <w:r>
        <w:rPr>
          <w:rFonts w:ascii="Times New Roman" w:hAnsi="Times New Roman"/>
          <w:color w:val="2B2320"/>
          <w:sz w:val="22"/>
          <w:szCs w:val="22"/>
        </w:rPr>
        <w:t xml:space="preserve">: defect indices (0, 0), the evolution operator e</w:t>
      </w:r>
      <w:r>
        <w:rPr>
          <w:rFonts w:ascii="Times New Roman" w:hAnsi="Times New Roman"/>
          <w:color w:val="2B2320"/>
          <w:sz w:val="22"/>
          <w:szCs w:val="22"/>
          <w:vertAlign w:val="superscript"/>
        </w:rPr>
        <w:t xml:space="preserve">−iHt</w:t>
      </w:r>
      <w:r>
        <w:rPr>
          <w:rFonts w:ascii="Times New Roman" w:hAnsi="Times New Roman"/>
          <w:color w:val="2B2320"/>
          <w:sz w:val="22"/>
          <w:szCs w:val="22"/>
        </w:rPr>
        <w:t xml:space="preserve"> is unitary; the numerical unitarity drift is 2.2e−16 — machine epsilon. Together Th1 and Th2 guarantee that the "spectral model of the critical line" is not merely numerically beautiful but correct as a linear-algebraic object: real spectrum, symmetry, unitary dynamics.</w:t>
      </w:r>
    </w:p>
    <w:p>
      <w:pPr>
        <w:pStyle w:val="Heading2"/>
        <w:spacing w:after="120" w:before="280" w:line="312"/>
      </w:pPr>
      <w:bookmarkStart w:name="_Toc22" w:id="22"/>
      <w:r>
        <w:rPr>
          <w:rFonts w:ascii="Times New Roman" w:hAnsi="Times New Roman"/>
          <w:b/>
          <w:bCs/>
          <w:color w:val="7A5C48"/>
          <w:sz w:val="26"/>
          <w:szCs w:val="26"/>
        </w:rPr>
        <w:t xml:space="preserve">5.3. Accuracy: Kato certificates (Th3) and the Li formula (Th4)</w:t>
      </w:r>
      <w:bookmarkEnd w:id="22"/>
    </w:p>
    <w:p>
      <w:pPr>
        <w:spacing w:after="120" w:line="312"/>
        <w:jc w:val="both"/>
      </w:pPr>
      <w:r>
        <w:rPr>
          <w:rFonts w:ascii="Times New Roman" w:hAnsi="Times New Roman"/>
          <w:color w:val="2B2320"/>
          <w:sz w:val="22"/>
          <w:szCs w:val="22"/>
        </w:rPr>
        <w:t xml:space="preserve">Campaign V12 (Theorem Th3) answers the question of trust in computed eigenvalues: for a pseudospectral estimate λ̃, Kato theory gives |λ̂ − λ̃| ≤ δ²/gap plus a Gershgorin allowance. Numerically the corridor widths are of order 1e−27 at 40 significant digits (dps 40) — certificates orders of magnitude tighter than the values themselves. This is a rare situation: the error of the estimate is known better than the estimate.</w:t>
      </w:r>
    </w:p>
    <w:p>
      <w:pPr>
        <w:spacing w:after="120" w:line="312"/>
        <w:jc w:val="both"/>
      </w:pPr>
      <w:r>
        <w:rPr>
          <w:rFonts w:ascii="Times New Roman" w:hAnsi="Times New Roman"/>
          <w:color w:val="2B2320"/>
          <w:sz w:val="22"/>
          <w:szCs w:val="22"/>
        </w:rPr>
        <w:t xml:space="preserve">Theorem Th4 (campaign V15, the Li formula) translates the critical line question into spectral language: λ_n = Tr g_n(H</w:t>
      </w:r>
      <w:r>
        <w:rPr>
          <w:rFonts w:ascii="Times New Roman" w:hAnsi="Times New Roman"/>
          <w:color w:val="2B2320"/>
          <w:sz w:val="22"/>
          <w:szCs w:val="22"/>
          <w:vertAlign w:val="subscript"/>
        </w:rPr>
        <w:t xml:space="preserve">ξ</w:t>
      </w:r>
      <w:r>
        <w:rPr>
          <w:rFonts w:ascii="Times New Roman" w:hAnsi="Times New Roman"/>
          <w:color w:val="2B2320"/>
          <w:sz w:val="22"/>
          <w:szCs w:val="22"/>
        </w:rPr>
        <w:t xml:space="preserve">), non-negativity of λ_n is equivalent to RH; absolute convergence of the series is proved, the numerical agreement of two independent computation paths is ≤ 4.4e−11. The core web laboratory draws the λ_n ladder in real time, and the Th4 tile (fig. 3.1) shows all four dimensions: the ladder, path agreement, the tail, gate control.</w:t>
      </w:r>
    </w:p>
    <w:p>
      <w:pPr>
        <w:pStyle w:val="Heading2"/>
        <w:spacing w:after="120" w:before="280" w:line="312"/>
      </w:pPr>
      <w:bookmarkStart w:name="_Toc23" w:id="23"/>
      <w:r>
        <w:rPr>
          <w:rFonts w:ascii="Times New Roman" w:hAnsi="Times New Roman"/>
          <w:b/>
          <w:bCs/>
          <w:color w:val="7A5C48"/>
          <w:sz w:val="26"/>
          <w:szCs w:val="26"/>
        </w:rPr>
        <w:t xml:space="preserve">5.4. Block reduction (Th5) and its boundary</w:t>
      </w:r>
      <w:bookmarkEnd w:id="23"/>
    </w:p>
    <w:p>
      <w:pPr>
        <w:spacing w:after="120" w:line="312"/>
        <w:jc w:val="both"/>
      </w:pPr>
      <w:r>
        <w:rPr>
          <w:rFonts w:ascii="Times New Roman" w:hAnsi="Times New Roman"/>
          <w:color w:val="2B2320"/>
          <w:sz w:val="22"/>
          <w:szCs w:val="22"/>
        </w:rPr>
        <w:t xml:space="preserve">Theorem Th5 (campaign V9) provides the structural theorem: if [H, A] = [H, B] = 0, the operator block-reduces by characters, and the union of blocks reproduces the spectrum to 7.1e−15. Practically this means large spectral problems split into independent blocks without loss of information — the reduction is exact within its certificate. The boundary is honest too: vortex terms that break commutation break the reduction — the condition is not a technicality but an essential part of the statement. Combined with Th6, the block reduction explains why the trace formula "sees" the primes: the arithmetic lives in the characters of the blocks, and the heat expansion inherits it in the coefficients Λ(n)/√n.</w:t>
      </w:r>
    </w:p>
    <w:p>
      <w:pPr>
        <w:pStyle w:val="Heading1"/>
        <w:spacing w:after="160" w:before="360" w:line="312"/>
      </w:pPr>
      <w:bookmarkStart w:name="_Toc24" w:id="24"/>
      <w:r>
        <w:rPr>
          <w:rFonts w:ascii="Times New Roman" w:hAnsi="Times New Roman"/>
          <w:b/>
          <w:bCs/>
          <w:color w:val="2B2320"/>
          <w:sz w:val="32"/>
          <w:szCs w:val="32"/>
        </w:rPr>
        <w:t xml:space="preserve">Chapter 6. The Obligation Machine V13</w:t>
      </w:r>
      <w:bookmarkEnd w:id="24"/>
    </w:p>
    <w:p>
      <w:pPr>
        <w:spacing w:after="160" w:line="312"/>
        <w:jc w:val="both"/>
      </w:pPr>
      <w:r>
        <w:rPr>
          <w:rFonts w:ascii="Times New Roman" w:hAnsi="Times New Roman"/>
          <w:color w:val="7A5C48"/>
          <w:sz w:val="23"/>
          <w:szCs w:val="23"/>
        </w:rPr>
        <w:t xml:space="preserve">The obligation machine is the formal mechanism that keeps the main conclusion of the program (RH) blocked until all analytic prerequisites are proved. It is not a metaphor but an executable DAG: obligation nodes, proven/computed/assumed statuses and an automatic blocked verdict.</w:t>
      </w:r>
    </w:p>
    <w:p>
      <w:pPr>
        <w:pStyle w:val="Heading2"/>
        <w:spacing w:after="120" w:before="280" w:line="312"/>
      </w:pPr>
      <w:bookmarkStart w:name="_Toc25" w:id="25"/>
      <w:r>
        <w:rPr>
          <w:rFonts w:ascii="Times New Roman" w:hAnsi="Times New Roman"/>
          <w:b/>
          <w:bCs/>
          <w:color w:val="7A5C48"/>
          <w:sz w:val="26"/>
          <w:szCs w:val="26"/>
        </w:rPr>
        <w:t xml:space="preserve">6.1. Why an obligation machine</w:t>
      </w:r>
      <w:bookmarkEnd w:id="25"/>
    </w:p>
    <w:p>
      <w:pPr>
        <w:spacing w:after="120" w:line="312"/>
        <w:jc w:val="both"/>
      </w:pPr>
      <w:r>
        <w:rPr>
          <w:rFonts w:ascii="Times New Roman" w:hAnsi="Times New Roman"/>
          <w:color w:val="2B2320"/>
          <w:sz w:val="22"/>
          <w:szCs w:val="22"/>
        </w:rPr>
        <w:t xml:space="preserve">A long program of numerical experiments has a systemic risk: accumulated successes create a feeling of provedness. Every new PASS psychologically approaches "the result", although logically it does not approach it by a single step. The obligation machine solves this constructively: the path to the conclusion is explicitly decomposed into nodes, each node has a status, and the conclusion is automatically unavailable while at least one node on the path is unproved. The status is not raised by numerical checks — numerical results may confirm, they cannot prove.</w:t>
      </w:r>
    </w:p>
    <w:p>
      <w:pPr>
        <w:spacing w:after="120" w:line="312"/>
        <w:jc w:val="both"/>
      </w:pPr>
      <w:r>
        <w:rPr>
          <w:rFonts w:ascii="Times New Roman" w:hAnsi="Times New Roman"/>
          <w:color w:val="2B2320"/>
          <w:sz w:val="22"/>
          <w:szCs w:val="22"/>
        </w:rPr>
        <w:t xml:space="preserve">The mechanics are simple and checkable. The DAG is valid (dag_valid: true); the conclusion rh_conclusion has the value blocked; of the nodes, five are proved (n_proven: 5), three are computed (n_computed: 3), four remain hypotheses (n_assumed: 4). The hypotheses — O08, O09, O11, O12 — are analytic prerequisites without which the chain does not close. The verdict note states it explicitly: the formal machine blocks the RH conclusion, the path to the conclusion contains hypotheses, and no numerical check raises the status.</w:t>
      </w:r>
    </w:p>
    <w:p>
      <w:pPr>
        <w:keepNext/>
        <w:spacing w:after="80" w:before="160"/>
        <w:jc w:val="center"/>
      </w:pPr>
      <w:r>
        <w:rPr>
          <w:rFonts w:ascii="Times New Roman" w:hAnsi="Times New Roman"/>
          <w:b/>
          <w:bCs/>
          <w:color w:val="7A5C48"/>
          <w:sz w:val="19"/>
          <w:szCs w:val="19"/>
        </w:rPr>
        <w:t xml:space="preserve">Table 6.1. Node statuses of the obligation machine V13</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1444"/>
        <w:gridCol w:w="1083"/>
        <w:gridCol w:w="3610"/>
        <w:gridCol w:w="2888"/>
      </w:tblGrid>
      <w:tr>
        <w:trPr>
          <w:cantSplit/>
          <w:tblHeader/>
        </w:trPr>
        <w:tc>
          <w:tcPr>
            <w:tcW w:type="pct" w:w="8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Status</w:t>
            </w:r>
          </w:p>
        </w:tc>
        <w:tc>
          <w:tcPr>
            <w:tcW w:type="pct" w:w="6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Count</w:t>
            </w:r>
          </w:p>
        </w:tc>
        <w:tc>
          <w:tcPr>
            <w:tcW w:type="pct" w:w="20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Meaning</w:t>
            </w:r>
          </w:p>
        </w:tc>
        <w:tc>
          <w:tcPr>
            <w:tcW w:type="pct" w:w="16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How it is raised</w:t>
            </w:r>
          </w:p>
        </w:tc>
      </w:tr>
      <w:tr>
        <w:trPr>
          <w:cantSplit/>
        </w:trPr>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proven</w:t>
            </w:r>
          </w:p>
        </w:tc>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5</w:t>
            </w:r>
          </w:p>
        </w:tc>
        <w:tc>
          <w:tcPr>
            <w:tcW w:type="pct" w:w="2000"/>
            <w:tcMar>
              <w:top w:type="dxa" w:w="60"/>
              <w:left w:type="dxa" w:w="120"/>
              <w:bottom w:type="dxa" w:w="60"/>
              <w:right w:type="dxa" w:w="120"/>
            </w:tcMar>
          </w:tcPr>
          <w:p>
            <w:pPr>
              <w:spacing w:line="276"/>
            </w:pPr>
            <w:r>
              <w:rPr>
                <w:rFonts w:ascii="Times New Roman" w:hAnsi="Times New Roman"/>
                <w:color w:val="2B2320"/>
                <w:sz w:val="18"/>
                <w:szCs w:val="18"/>
              </w:rPr>
              <w:t xml:space="preserve">proved (formal layer)</w:t>
            </w:r>
          </w:p>
        </w:tc>
        <w:tc>
          <w:tcPr>
            <w:tcW w:type="pct" w:w="1600"/>
            <w:tcMar>
              <w:top w:type="dxa" w:w="60"/>
              <w:left w:type="dxa" w:w="120"/>
              <w:bottom w:type="dxa" w:w="60"/>
              <w:right w:type="dxa" w:w="120"/>
            </w:tcMar>
          </w:tcPr>
          <w:p>
            <w:pPr>
              <w:spacing w:line="276"/>
            </w:pPr>
            <w:r>
              <w:rPr>
                <w:rFonts w:ascii="Times New Roman" w:hAnsi="Times New Roman"/>
                <w:color w:val="2B2320"/>
                <w:sz w:val="18"/>
                <w:szCs w:val="18"/>
              </w:rPr>
              <w:t xml:space="preserve">a new proof in Lean/Coq</w:t>
            </w:r>
          </w:p>
        </w:tc>
      </w:tr>
      <w:tr>
        <w:trPr>
          <w:cantSplit/>
        </w:trPr>
        <w:tc>
          <w:tcPr>
            <w:tcW w:type="pct" w:w="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computed</w:t>
            </w:r>
          </w:p>
        </w:tc>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3</w:t>
            </w:r>
          </w:p>
        </w:tc>
        <w:tc>
          <w:tcPr>
            <w:tcW w:type="pct" w:w="2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computed with a certificate</w:t>
            </w:r>
          </w:p>
        </w:tc>
        <w:tc>
          <w:tcPr>
            <w:tcW w:type="pct" w:w="1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only as computation, never as proof</w:t>
            </w:r>
          </w:p>
        </w:tc>
      </w:tr>
      <w:tr>
        <w:trPr>
          <w:cantSplit/>
        </w:trPr>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assumed</w:t>
            </w:r>
          </w:p>
        </w:tc>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4</w:t>
            </w:r>
          </w:p>
        </w:tc>
        <w:tc>
          <w:tcPr>
            <w:tcW w:type="pct" w:w="2000"/>
            <w:tcMar>
              <w:top w:type="dxa" w:w="60"/>
              <w:left w:type="dxa" w:w="120"/>
              <w:bottom w:type="dxa" w:w="60"/>
              <w:right w:type="dxa" w:w="120"/>
            </w:tcMar>
          </w:tcPr>
          <w:p>
            <w:pPr>
              <w:spacing w:line="276"/>
            </w:pPr>
            <w:r>
              <w:rPr>
                <w:rFonts w:ascii="Times New Roman" w:hAnsi="Times New Roman"/>
                <w:color w:val="2B2320"/>
                <w:sz w:val="18"/>
                <w:szCs w:val="18"/>
              </w:rPr>
              <w:t xml:space="preserve">hypothesis: O08, O09, O11, O12</w:t>
            </w:r>
          </w:p>
        </w:tc>
        <w:tc>
          <w:tcPr>
            <w:tcW w:type="pct" w:w="1600"/>
            <w:tcMar>
              <w:top w:type="dxa" w:w="60"/>
              <w:left w:type="dxa" w:w="120"/>
              <w:bottom w:type="dxa" w:w="60"/>
              <w:right w:type="dxa" w:w="120"/>
            </w:tcMar>
          </w:tcPr>
          <w:p>
            <w:pPr>
              <w:spacing w:line="276"/>
            </w:pPr>
            <w:r>
              <w:rPr>
                <w:rFonts w:ascii="Times New Roman" w:hAnsi="Times New Roman"/>
                <w:color w:val="2B2320"/>
                <w:sz w:val="18"/>
                <w:szCs w:val="18"/>
              </w:rPr>
              <w:t xml:space="preserve">only by analytic proof</w:t>
            </w:r>
          </w:p>
        </w:tc>
      </w:tr>
      <w:tr>
        <w:trPr>
          <w:cantSplit/>
        </w:trPr>
        <w:tc>
          <w:tcPr>
            <w:tcW w:type="pct" w:w="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conclusion</w:t>
            </w:r>
          </w:p>
        </w:tc>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RH</w:t>
            </w:r>
          </w:p>
        </w:tc>
        <w:tc>
          <w:tcPr>
            <w:tcW w:type="pct" w:w="2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verdict: blocked</w:t>
            </w:r>
          </w:p>
        </w:tc>
        <w:tc>
          <w:tcPr>
            <w:tcW w:type="pct" w:w="1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automatically, while assumed nodes exist</w:t>
            </w:r>
          </w:p>
        </w:tc>
      </w:tr>
    </w:tbl>
    <w:p>
      <w:pPr>
        <w:spacing w:after="120"/>
      </w:pPr>
    </w:p>
    <w:p>
      <w:pPr>
        <w:pStyle w:val="Heading2"/>
        <w:spacing w:after="120" w:before="280" w:line="312"/>
      </w:pPr>
      <w:bookmarkStart w:name="_Toc26" w:id="26"/>
      <w:r>
        <w:rPr>
          <w:rFonts w:ascii="Times New Roman" w:hAnsi="Times New Roman"/>
          <w:b/>
          <w:bCs/>
          <w:color w:val="7A5C48"/>
          <w:sz w:val="26"/>
          <w:szCs w:val="26"/>
        </w:rPr>
        <w:t xml:space="preserve">6.2. Obligations as a contract with the reader</w:t>
      </w:r>
      <w:bookmarkEnd w:id="26"/>
    </w:p>
    <w:p>
      <w:pPr>
        <w:spacing w:after="120" w:line="312"/>
        <w:jc w:val="both"/>
      </w:pPr>
      <w:r>
        <w:rPr>
          <w:rFonts w:ascii="Times New Roman" w:hAnsi="Times New Roman"/>
          <w:color w:val="2B2320"/>
          <w:sz w:val="22"/>
          <w:szCs w:val="22"/>
        </w:rPr>
        <w:t xml:space="preserve">The obligation machine changes the contract between the program and the reader. Instead of a promise "we are close to a proof", the reader gets a precise map: here are the nodes, here are the statuses, here is exactly what separates blocked from proven. Anyone who wants to challenge or advance the result sees where the boundary of the known passes. This contract also protects the program itself: priorities are clear, roadmaps reference concrete nodes (for example, the formal-layer obligations O-lean/O-coq) rather than a vague "closeness to RH".</w:t>
      </w:r>
    </w:p>
    <w:p>
      <w:pPr>
        <w:spacing w:after="120" w:line="312"/>
        <w:jc w:val="both"/>
      </w:pPr>
      <w:r>
        <w:rPr>
          <w:rFonts w:ascii="Times New Roman" w:hAnsi="Times New Roman"/>
          <w:color w:val="2B2320"/>
          <w:sz w:val="22"/>
          <w:szCs w:val="22"/>
        </w:rPr>
        <w:t xml:space="preserve">The asymmetry of statuses must be stressed: a computed node cannot substitute a proved one, no matter how many digits of agreement it yields. This reflects the general rule of the program: a numerical result with a certificate is a statement about a particular computational procedure, while a formal node is a statement about all possible inputs. The obligation machine is the institutional form of this distinction.</w:t>
      </w:r>
    </w:p>
    <w:p>
      <w:pPr>
        <w:pStyle w:val="Heading1"/>
        <w:spacing w:after="160" w:before="360" w:line="312"/>
      </w:pPr>
      <w:bookmarkStart w:name="_Toc27" w:id="27"/>
      <w:r>
        <w:rPr>
          <w:rFonts w:ascii="Times New Roman" w:hAnsi="Times New Roman"/>
          <w:b/>
          <w:bCs/>
          <w:color w:val="2B2320"/>
          <w:sz w:val="32"/>
          <w:szCs w:val="32"/>
        </w:rPr>
        <w:t xml:space="preserve">Chapter 7. Theorems Th1–Th6: Statements, Certificates, Reductions</w:t>
      </w:r>
      <w:bookmarkEnd w:id="27"/>
    </w:p>
    <w:p>
      <w:pPr>
        <w:spacing w:after="160" w:line="312"/>
        <w:jc w:val="both"/>
      </w:pPr>
      <w:r>
        <w:rPr>
          <w:rFonts w:ascii="Times New Roman" w:hAnsi="Times New Roman"/>
          <w:color w:val="7A5C48"/>
          <w:sz w:val="23"/>
          <w:szCs w:val="23"/>
        </w:rPr>
        <w:t xml:space="preserve">The six core theorems form the skeleton of the spectral construction: from Hermiticity and self-adjointness through Kato certificates and the Li formula to block reduction and the Guinand–Weil link of the trace to the primes. For each theorem the following are published: the statement, the numerical certificate, the formal-layer reduction and four documents RU/EN × PDF/DOCX.</w:t>
      </w:r>
    </w:p>
    <w:p>
      <w:pPr>
        <w:pStyle w:val="Heading2"/>
        <w:spacing w:after="120" w:before="280" w:line="312"/>
      </w:pPr>
      <w:bookmarkStart w:name="_Toc28" w:id="28"/>
      <w:r>
        <w:rPr>
          <w:rFonts w:ascii="Times New Roman" w:hAnsi="Times New Roman"/>
          <w:b/>
          <w:bCs/>
          <w:color w:val="7A5C48"/>
          <w:sz w:val="26"/>
          <w:szCs w:val="26"/>
        </w:rPr>
        <w:t xml:space="preserve">7.1. Summary table</w:t>
      </w:r>
      <w:bookmarkEnd w:id="28"/>
    </w:p>
    <w:p>
      <w:pPr>
        <w:keepNext/>
        <w:spacing w:after="80" w:before="160"/>
        <w:jc w:val="center"/>
      </w:pPr>
      <w:r>
        <w:rPr>
          <w:rFonts w:ascii="Times New Roman" w:hAnsi="Times New Roman"/>
          <w:b/>
          <w:bCs/>
          <w:color w:val="7A5C48"/>
          <w:sz w:val="19"/>
          <w:szCs w:val="19"/>
        </w:rPr>
        <w:t xml:space="preserve">Table 7.1. Theorems Th1–Th6: statements and certificates</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1173"/>
        <w:gridCol w:w="3791"/>
        <w:gridCol w:w="2437"/>
        <w:gridCol w:w="1625"/>
      </w:tblGrid>
      <w:tr>
        <w:trPr>
          <w:cantSplit/>
          <w:tblHeader/>
        </w:trPr>
        <w:tc>
          <w:tcPr>
            <w:tcW w:type="pct" w:w="65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Theorem</w:t>
            </w:r>
          </w:p>
        </w:tc>
        <w:tc>
          <w:tcPr>
            <w:tcW w:type="pct" w:w="21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Statement (short)</w:t>
            </w:r>
          </w:p>
        </w:tc>
        <w:tc>
          <w:tcPr>
            <w:tcW w:type="pct" w:w="135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Certificate</w:t>
            </w:r>
          </w:p>
        </w:tc>
        <w:tc>
          <w:tcPr>
            <w:tcW w:type="pct" w:w="9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Reduction</w:t>
            </w:r>
          </w:p>
        </w:tc>
      </w:tr>
      <w:tr>
        <w:trPr>
          <w:cantSplit/>
        </w:trPr>
        <w:tc>
          <w:tcPr>
            <w:tcW w:type="pct" w:w="650"/>
            <w:tcMar>
              <w:top w:type="dxa" w:w="60"/>
              <w:left w:type="dxa" w:w="120"/>
              <w:bottom w:type="dxa" w:w="60"/>
              <w:right w:type="dxa" w:w="120"/>
            </w:tcMar>
          </w:tcPr>
          <w:p>
            <w:pPr>
              <w:spacing w:line="276"/>
            </w:pPr>
            <w:r>
              <w:rPr>
                <w:rFonts w:ascii="Times New Roman" w:hAnsi="Times New Roman"/>
                <w:color w:val="2B2320"/>
                <w:sz w:val="18"/>
                <w:szCs w:val="18"/>
              </w:rPr>
              <w:t xml:space="preserve">Th1 (V4)</w:t>
            </w:r>
          </w:p>
        </w:tc>
        <w:tc>
          <w:tcPr>
            <w:tcW w:type="pct" w:w="2100"/>
            <w:tcMar>
              <w:top w:type="dxa" w:w="60"/>
              <w:left w:type="dxa" w:w="120"/>
              <w:bottom w:type="dxa" w:w="60"/>
              <w:right w:type="dxa" w:w="120"/>
            </w:tcMar>
          </w:tcPr>
          <w:p>
            <w:pPr>
              <w:spacing w:line="276"/>
            </w:pPr>
            <w:r>
              <w:rPr>
                <w:rFonts w:ascii="Times New Roman" w:hAnsi="Times New Roman"/>
                <w:color w:val="2B2320"/>
                <w:sz w:val="18"/>
                <w:szCs w:val="18"/>
              </w:rPr>
              <w:t xml:space="preserve">H = H† implies spec ⊂ ℝ; symmetry λ ↔ −λ at α = ½, W = 0</w:t>
            </w:r>
          </w:p>
        </w:tc>
        <w:tc>
          <w:tcPr>
            <w:tcW w:type="pct" w:w="1350"/>
            <w:tcMar>
              <w:top w:type="dxa" w:w="60"/>
              <w:left w:type="dxa" w:w="120"/>
              <w:bottom w:type="dxa" w:w="60"/>
              <w:right w:type="dxa" w:w="120"/>
            </w:tcMar>
          </w:tcPr>
          <w:p>
            <w:pPr>
              <w:spacing w:line="276"/>
            </w:pPr>
            <w:r>
              <w:rPr>
                <w:rFonts w:ascii="Times New Roman" w:hAnsi="Times New Roman"/>
                <w:color w:val="2B2320"/>
                <w:sz w:val="18"/>
                <w:szCs w:val="18"/>
              </w:rPr>
              <w:t xml:space="preserve">‖H − H†‖ = 0.0 exactly</w:t>
            </w:r>
          </w:p>
        </w:tc>
        <w:tc>
          <w:tcPr>
            <w:tcW w:type="pct" w:w="900"/>
            <w:tcMar>
              <w:top w:type="dxa" w:w="60"/>
              <w:left w:type="dxa" w:w="120"/>
              <w:bottom w:type="dxa" w:w="60"/>
              <w:right w:type="dxa" w:w="120"/>
            </w:tcMar>
          </w:tcPr>
          <w:p>
            <w:pPr>
              <w:spacing w:line="276"/>
            </w:pPr>
            <w:r>
              <w:rPr>
                <w:rFonts w:ascii="Times New Roman" w:hAnsi="Times New Roman"/>
                <w:color w:val="2B2320"/>
                <w:sz w:val="18"/>
                <w:szCs w:val="18"/>
              </w:rPr>
              <w:t xml:space="preserve">A1</w:t>
            </w:r>
          </w:p>
        </w:tc>
      </w:tr>
      <w:tr>
        <w:trPr>
          <w:cantSplit/>
        </w:trPr>
        <w:tc>
          <w:tcPr>
            <w:tcW w:type="pct" w:w="65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Th2 (V8)</w:t>
            </w:r>
          </w:p>
        </w:tc>
        <w:tc>
          <w:tcPr>
            <w:tcW w:type="pct" w:w="2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self-adjointness on ℂ^N: defects (0,0); e^(−iHt) unitary</w:t>
            </w:r>
          </w:p>
        </w:tc>
        <w:tc>
          <w:tcPr>
            <w:tcW w:type="pct" w:w="135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drift 2.2e−16</w:t>
            </w:r>
          </w:p>
        </w:tc>
        <w:tc>
          <w:tcPr>
            <w:tcW w:type="pct" w:w="9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A2b</w:t>
            </w:r>
          </w:p>
        </w:tc>
      </w:tr>
      <w:tr>
        <w:trPr>
          <w:cantSplit/>
        </w:trPr>
        <w:tc>
          <w:tcPr>
            <w:tcW w:type="pct" w:w="650"/>
            <w:tcMar>
              <w:top w:type="dxa" w:w="60"/>
              <w:left w:type="dxa" w:w="120"/>
              <w:bottom w:type="dxa" w:w="60"/>
              <w:right w:type="dxa" w:w="120"/>
            </w:tcMar>
          </w:tcPr>
          <w:p>
            <w:pPr>
              <w:spacing w:line="276"/>
            </w:pPr>
            <w:r>
              <w:rPr>
                <w:rFonts w:ascii="Times New Roman" w:hAnsi="Times New Roman"/>
                <w:color w:val="2B2320"/>
                <w:sz w:val="18"/>
                <w:szCs w:val="18"/>
              </w:rPr>
              <w:t xml:space="preserve">Th3 (V12)</w:t>
            </w:r>
          </w:p>
        </w:tc>
        <w:tc>
          <w:tcPr>
            <w:tcW w:type="pct" w:w="2100"/>
            <w:tcMar>
              <w:top w:type="dxa" w:w="60"/>
              <w:left w:type="dxa" w:w="120"/>
              <w:bottom w:type="dxa" w:w="60"/>
              <w:right w:type="dxa" w:w="120"/>
            </w:tcMar>
          </w:tcPr>
          <w:p>
            <w:pPr>
              <w:spacing w:line="276"/>
            </w:pPr>
            <w:r>
              <w:rPr>
                <w:rFonts w:ascii="Times New Roman" w:hAnsi="Times New Roman"/>
                <w:color w:val="2B2320"/>
                <w:sz w:val="18"/>
                <w:szCs w:val="18"/>
              </w:rPr>
              <w:t xml:space="preserve">Kato estimate |λ̂ − λ̃| ≤ δ²/gap + Gershgorin</w:t>
            </w:r>
          </w:p>
        </w:tc>
        <w:tc>
          <w:tcPr>
            <w:tcW w:type="pct" w:w="1350"/>
            <w:tcMar>
              <w:top w:type="dxa" w:w="60"/>
              <w:left w:type="dxa" w:w="120"/>
              <w:bottom w:type="dxa" w:w="60"/>
              <w:right w:type="dxa" w:w="120"/>
            </w:tcMar>
          </w:tcPr>
          <w:p>
            <w:pPr>
              <w:spacing w:line="276"/>
            </w:pPr>
            <w:r>
              <w:rPr>
                <w:rFonts w:ascii="Times New Roman" w:hAnsi="Times New Roman"/>
                <w:color w:val="2B2320"/>
                <w:sz w:val="18"/>
                <w:szCs w:val="18"/>
              </w:rPr>
              <w:t xml:space="preserve">widths ~1e−27 (dps 40)</w:t>
            </w:r>
          </w:p>
        </w:tc>
        <w:tc>
          <w:tcPr>
            <w:tcW w:type="pct" w:w="900"/>
            <w:tcMar>
              <w:top w:type="dxa" w:w="60"/>
              <w:left w:type="dxa" w:w="120"/>
              <w:bottom w:type="dxa" w:w="60"/>
              <w:right w:type="dxa" w:w="120"/>
            </w:tcMar>
          </w:tcPr>
          <w:p>
            <w:pPr>
              <w:spacing w:line="276"/>
            </w:pPr>
            <w:r>
              <w:rPr>
                <w:rFonts w:ascii="Times New Roman" w:hAnsi="Times New Roman"/>
                <w:color w:val="2B2320"/>
                <w:sz w:val="18"/>
                <w:szCs w:val="18"/>
              </w:rPr>
              <w:t xml:space="preserve">A4, A5</w:t>
            </w:r>
          </w:p>
        </w:tc>
      </w:tr>
      <w:tr>
        <w:trPr>
          <w:cantSplit/>
        </w:trPr>
        <w:tc>
          <w:tcPr>
            <w:tcW w:type="pct" w:w="65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Th4 (V15)</w:t>
            </w:r>
          </w:p>
        </w:tc>
        <w:tc>
          <w:tcPr>
            <w:tcW w:type="pct" w:w="2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λ_n = Tr g_n(H_ξ); absolute convergence; non-negativity ↔ RH</w:t>
            </w:r>
          </w:p>
        </w:tc>
        <w:tc>
          <w:tcPr>
            <w:tcW w:type="pct" w:w="135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two paths ≤ 4.4e−11</w:t>
            </w:r>
          </w:p>
        </w:tc>
        <w:tc>
          <w:tcPr>
            <w:tcW w:type="pct" w:w="9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A6</w:t>
            </w:r>
          </w:p>
        </w:tc>
      </w:tr>
      <w:tr>
        <w:trPr>
          <w:cantSplit/>
        </w:trPr>
        <w:tc>
          <w:tcPr>
            <w:tcW w:type="pct" w:w="650"/>
            <w:tcMar>
              <w:top w:type="dxa" w:w="60"/>
              <w:left w:type="dxa" w:w="120"/>
              <w:bottom w:type="dxa" w:w="60"/>
              <w:right w:type="dxa" w:w="120"/>
            </w:tcMar>
          </w:tcPr>
          <w:p>
            <w:pPr>
              <w:spacing w:line="276"/>
            </w:pPr>
            <w:r>
              <w:rPr>
                <w:rFonts w:ascii="Times New Roman" w:hAnsi="Times New Roman"/>
                <w:color w:val="2B2320"/>
                <w:sz w:val="18"/>
                <w:szCs w:val="18"/>
              </w:rPr>
              <w:t xml:space="preserve">Th5 (V9)</w:t>
            </w:r>
          </w:p>
        </w:tc>
        <w:tc>
          <w:tcPr>
            <w:tcW w:type="pct" w:w="2100"/>
            <w:tcMar>
              <w:top w:type="dxa" w:w="60"/>
              <w:left w:type="dxa" w:w="120"/>
              <w:bottom w:type="dxa" w:w="60"/>
              <w:right w:type="dxa" w:w="120"/>
            </w:tcMar>
          </w:tcPr>
          <w:p>
            <w:pPr>
              <w:spacing w:line="276"/>
            </w:pPr>
            <w:r>
              <w:rPr>
                <w:rFonts w:ascii="Times New Roman" w:hAnsi="Times New Roman"/>
                <w:color w:val="2B2320"/>
                <w:sz w:val="18"/>
                <w:szCs w:val="18"/>
              </w:rPr>
              <w:t xml:space="preserve">[H,A] = [H,B] = 0 implies block reduction by characters</w:t>
            </w:r>
          </w:p>
        </w:tc>
        <w:tc>
          <w:tcPr>
            <w:tcW w:type="pct" w:w="1350"/>
            <w:tcMar>
              <w:top w:type="dxa" w:w="60"/>
              <w:left w:type="dxa" w:w="120"/>
              <w:bottom w:type="dxa" w:w="60"/>
              <w:right w:type="dxa" w:w="120"/>
            </w:tcMar>
          </w:tcPr>
          <w:p>
            <w:pPr>
              <w:spacing w:line="276"/>
            </w:pPr>
            <w:r>
              <w:rPr>
                <w:rFonts w:ascii="Times New Roman" w:hAnsi="Times New Roman"/>
                <w:color w:val="2B2320"/>
                <w:sz w:val="18"/>
                <w:szCs w:val="18"/>
              </w:rPr>
              <w:t xml:space="preserve">union ≈ spectrum to 7.1e−15</w:t>
            </w:r>
          </w:p>
        </w:tc>
        <w:tc>
          <w:tcPr>
            <w:tcW w:type="pct" w:w="900"/>
            <w:tcMar>
              <w:top w:type="dxa" w:w="60"/>
              <w:left w:type="dxa" w:w="120"/>
              <w:bottom w:type="dxa" w:w="60"/>
              <w:right w:type="dxa" w:w="120"/>
            </w:tcMar>
          </w:tcPr>
          <w:p>
            <w:pPr>
              <w:spacing w:line="276"/>
            </w:pPr>
            <w:r>
              <w:rPr>
                <w:rFonts w:ascii="Times New Roman" w:hAnsi="Times New Roman"/>
                <w:color w:val="2B2320"/>
                <w:sz w:val="18"/>
                <w:szCs w:val="18"/>
              </w:rPr>
              <w:t xml:space="preserve">A2</w:t>
            </w:r>
          </w:p>
        </w:tc>
      </w:tr>
      <w:tr>
        <w:trPr>
          <w:cantSplit/>
        </w:trPr>
        <w:tc>
          <w:tcPr>
            <w:tcW w:type="pct" w:w="65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Th6 (V7)</w:t>
            </w:r>
          </w:p>
        </w:tc>
        <w:tc>
          <w:tcPr>
            <w:tcW w:type="pct" w:w="2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Guinand–Weil correspondence Q(a) ↔ ζ′/ζ; K(x) = Tr e^(−xH_ξ)</w:t>
            </w:r>
          </w:p>
        </w:tc>
        <w:tc>
          <w:tcPr>
            <w:tcW w:type="pct" w:w="135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trace carries Λ(n)/√n; r = 0.9996</w:t>
            </w:r>
          </w:p>
        </w:tc>
        <w:tc>
          <w:tcPr>
            <w:tcW w:type="pct" w:w="9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A3</w:t>
            </w:r>
          </w:p>
        </w:tc>
      </w:tr>
    </w:tbl>
    <w:p>
      <w:pPr>
        <w:spacing w:after="120"/>
      </w:pPr>
    </w:p>
    <w:p>
      <w:pPr>
        <w:pStyle w:val="Heading2"/>
        <w:spacing w:after="120" w:before="280" w:line="312"/>
      </w:pPr>
      <w:bookmarkStart w:name="_Toc29" w:id="29"/>
      <w:r>
        <w:rPr>
          <w:rFonts w:ascii="Times New Roman" w:hAnsi="Times New Roman"/>
          <w:b/>
          <w:bCs/>
          <w:color w:val="7A5C48"/>
          <w:sz w:val="26"/>
          <w:szCs w:val="26"/>
        </w:rPr>
        <w:t xml:space="preserve">7.2. How to read the certificates</w:t>
      </w:r>
      <w:bookmarkEnd w:id="29"/>
    </w:p>
    <w:p>
      <w:pPr>
        <w:spacing w:after="120" w:line="312"/>
        <w:jc w:val="both"/>
      </w:pPr>
      <w:r>
        <w:rPr>
          <w:rFonts w:ascii="Times New Roman" w:hAnsi="Times New Roman"/>
          <w:color w:val="2B2320"/>
          <w:sz w:val="22"/>
          <w:szCs w:val="22"/>
        </w:rPr>
        <w:t xml:space="preserve">A certificate is not a "nice number" but a quantity with an explicit protocol: what was measured, with what threshold, on which inputs, and what the result does not prove. For Th1 the certificate ‖H − H†‖ = 0.0 means an exact zero deviation in the chosen arithmetic — the operator construction guarantees Hermiticity structurally, not approximately. For Th2 the drift 2.2e−16 measures the unitarity of the evolution on a grid of times: a value at the double-precision machine epsilon level, confirming the correctness of the implementation, not only of the design.</w:t>
      </w:r>
    </w:p>
    <w:p>
      <w:pPr>
        <w:spacing w:after="120" w:line="312"/>
        <w:jc w:val="both"/>
      </w:pPr>
      <w:r>
        <w:rPr>
          <w:rFonts w:ascii="Times New Roman" w:hAnsi="Times New Roman"/>
          <w:color w:val="2B2320"/>
          <w:sz w:val="22"/>
          <w:szCs w:val="22"/>
        </w:rPr>
        <w:t xml:space="preserve">The certificates of Th3–Th4 have a different nature: they estimate the </w:t>
      </w:r>
      <w:r>
        <w:rPr>
          <w:rFonts w:ascii="Times New Roman" w:hAnsi="Times New Roman"/>
          <w:i/>
          <w:iCs/>
          <w:color w:val="2B2320"/>
          <w:sz w:val="22"/>
          <w:szCs w:val="22"/>
        </w:rPr>
        <w:t xml:space="preserve">error of the estimate</w:t>
      </w:r>
      <w:r>
        <w:rPr>
          <w:rFonts w:ascii="Times New Roman" w:hAnsi="Times New Roman"/>
          <w:color w:val="2B2320"/>
          <w:sz w:val="22"/>
          <w:szCs w:val="22"/>
        </w:rPr>
        <w:t xml:space="preserve">. The Kato corridor δ²/gap gives a guarantee for every computed eigenvalue; the Li formula provides a second, independent path of computing λ_n, and the agreement of the paths ≤ 4.4e−11 serves as a cross-check. Finally, Th5–Th6 certify structural statements: the accuracy of the spectrum reproduction by the union of blocks and the arithmetic consistency of the trace. Four types of certificates — constructive, implementational, estimative and structural — together cover the whole hierarchy of trust.</w:t>
      </w:r>
    </w:p>
    <w:p>
      <w:pPr>
        <w:pStyle w:val="Heading2"/>
        <w:spacing w:after="120" w:before="280" w:line="312"/>
      </w:pPr>
      <w:bookmarkStart w:name="_Toc30" w:id="30"/>
      <w:r>
        <w:rPr>
          <w:rFonts w:ascii="Times New Roman" w:hAnsi="Times New Roman"/>
          <w:b/>
          <w:bCs/>
          <w:color w:val="7A5C48"/>
          <w:sz w:val="26"/>
          <w:szCs w:val="26"/>
        </w:rPr>
        <w:t xml:space="preserve">7.3. Documents and reproducibility</w:t>
      </w:r>
      <w:bookmarkEnd w:id="30"/>
    </w:p>
    <w:p>
      <w:pPr>
        <w:spacing w:after="120" w:line="312"/>
        <w:jc w:val="both"/>
      </w:pPr>
      <w:r>
        <w:rPr>
          <w:rFonts w:ascii="Times New Roman" w:hAnsi="Times New Roman"/>
          <w:color w:val="2B2320"/>
          <w:sz w:val="22"/>
          <w:szCs w:val="22"/>
        </w:rPr>
        <w:t xml:space="preserve">Each theorem is packaged as a separate folder theorems_lemmas/T0X_* with a README (proof idea, four dimensions, boundaries), four documents (RU/EN × PDF/DOCX), a 2×2 tile figure and a JSON source in _json/. The documents are rebuilt by scripts (scripts/make_theorem_docs.py) from the same JSON that feeds the tiles — bilingualism and rebuilds are free. The statements in Lean 4 and Coq live in formal/ with reductions A1–A6; the build is checked by CI; sorry and admit are not used.</w:t>
      </w:r>
    </w:p>
    <w:p>
      <w:pPr>
        <w:spacing w:after="120" w:line="312"/>
        <w:jc w:val="both"/>
      </w:pPr>
      <w:r>
        <w:rPr>
          <w:rFonts w:ascii="Times New Roman" w:hAnsi="Times New Roman"/>
          <w:color w:val="2B2320"/>
          <w:sz w:val="22"/>
          <w:szCs w:val="22"/>
        </w:rPr>
        <w:t xml:space="preserve">For the mathematically inclined reader the verification path is: the folder README gives the idea and boundaries; the JSON source gives the exact certificate numbers; formal/ gives the formal statement; the core web laboratory (the Theorems tab) gives interactive reproduction of the λ_n ladder, Kato widths and the trace correlation in the browser, with nothing to install.</w:t>
      </w:r>
    </w:p>
    <w:p>
      <w:pPr>
        <w:pStyle w:val="Heading1"/>
        <w:spacing w:after="160" w:before="360" w:line="312"/>
      </w:pPr>
      <w:bookmarkStart w:name="_Toc31" w:id="31"/>
      <w:r>
        <w:rPr>
          <w:rFonts w:ascii="Times New Roman" w:hAnsi="Times New Roman"/>
          <w:b/>
          <w:bCs/>
          <w:color w:val="2B2320"/>
          <w:sz w:val="32"/>
          <w:szCs w:val="32"/>
        </w:rPr>
        <w:t xml:space="preserve">Chapter 8. Behavioural Campaigns V16–V19</w:t>
      </w:r>
      <w:bookmarkEnd w:id="31"/>
    </w:p>
    <w:p>
      <w:pPr>
        <w:spacing w:after="160" w:line="312"/>
        <w:jc w:val="both"/>
      </w:pPr>
      <w:r>
        <w:rPr>
          <w:rFonts w:ascii="Times New Roman" w:hAnsi="Times New Roman"/>
          <w:color w:val="7A5C48"/>
          <w:sz w:val="23"/>
          <w:szCs w:val="23"/>
        </w:rPr>
        <w:t xml:space="preserve">Four campaigns complete the core: V16 closes the lattice question, V17–V18 verify behavioural expectations in real time, V19 stitches the branches of the spectral construction — an algebraic certificate of monodromy.</w:t>
      </w:r>
    </w:p>
    <w:p>
      <w:pPr>
        <w:pStyle w:val="Heading2"/>
        <w:spacing w:after="120" w:before="280" w:line="312"/>
      </w:pPr>
      <w:bookmarkStart w:name="_Toc32" w:id="32"/>
      <w:r>
        <w:rPr>
          <w:rFonts w:ascii="Times New Roman" w:hAnsi="Times New Roman"/>
          <w:b/>
          <w:bCs/>
          <w:color w:val="7A5C48"/>
          <w:sz w:val="26"/>
          <w:szCs w:val="26"/>
        </w:rPr>
        <w:t xml:space="preserve">8.1. V16: the last lattice verdict</w:t>
      </w:r>
      <w:bookmarkEnd w:id="32"/>
    </w:p>
    <w:p>
      <w:pPr>
        <w:spacing w:after="120" w:line="312"/>
        <w:jc w:val="both"/>
      </w:pPr>
      <w:r>
        <w:rPr>
          <w:rFonts w:ascii="Times New Roman" w:hAnsi="Times New Roman"/>
          <w:color w:val="2B2320"/>
          <w:sz w:val="22"/>
          <w:szCs w:val="22"/>
        </w:rPr>
        <w:t xml:space="preserve">V16 is an independent re-check of the lattice hypothesis on a new construction. The verdict is negative: ζ-correspondences on lattices are not found; the specificity of the arithmetic is not reproduced by discrete models beyond GUE statistics. Together with V3 and V6 this closes the direction: three constructions, three negative verdicts, one boundary statement. Lattices are useful as computational infrastructure but not as a source of zeta arithmetic.</w:t>
      </w:r>
    </w:p>
    <w:p>
      <w:pPr>
        <w:pStyle w:val="Heading2"/>
        <w:spacing w:after="120" w:before="280" w:line="312"/>
      </w:pPr>
      <w:bookmarkStart w:name="_Toc33" w:id="33"/>
      <w:r>
        <w:rPr>
          <w:rFonts w:ascii="Times New Roman" w:hAnsi="Times New Roman"/>
          <w:b/>
          <w:bCs/>
          <w:color w:val="7A5C48"/>
          <w:sz w:val="26"/>
          <w:szCs w:val="26"/>
        </w:rPr>
        <w:t xml:space="preserve">8.2. V17–V18: behaviour under load</w:t>
      </w:r>
      <w:bookmarkEnd w:id="33"/>
    </w:p>
    <w:p>
      <w:pPr>
        <w:spacing w:after="120" w:line="312"/>
        <w:jc w:val="both"/>
      </w:pPr>
      <w:r>
        <w:rPr>
          <w:rFonts w:ascii="Times New Roman" w:hAnsi="Times New Roman"/>
          <w:color w:val="2B2320"/>
          <w:sz w:val="22"/>
          <w:szCs w:val="22"/>
        </w:rPr>
        <w:t xml:space="preserve">Campaigns V17 and V18 move the core into a "live" regime: computation trajectories under request flows, reaction to input perturbations, stability of the reading protocol under consecutive requests. V17 records the trajectories (v17_trajectories.csv): under repeated requests the values are reproduced, there is no accumulation degradation — reading is idempotent. V18 (the pong protocol) measures latency and confirms that the cost of a reading step stays bounded independently of the number of previous requests — no log and no cache grow, because there are none.</w:t>
      </w:r>
    </w:p>
    <w:p>
      <w:pPr>
        <w:spacing w:after="120" w:line="312"/>
        <w:jc w:val="both"/>
      </w:pPr>
      <w:r>
        <w:rPr>
          <w:rFonts w:ascii="Times New Roman" w:hAnsi="Times New Roman"/>
          <w:color w:val="2B2320"/>
          <w:sz w:val="22"/>
          <w:szCs w:val="22"/>
        </w:rPr>
        <w:t xml:space="preserve">These campaigns matter for the "reads, does not carry" claim: reading must be not only accurate but also cheap on any time horizon. If every operation accumulated state, O(1) per step would quickly turn into Ω(t) — exactly what the contrast experiment ES3 of the spinor study demonstrates (chapter 15).</w:t>
      </w:r>
    </w:p>
    <w:p>
      <w:pPr>
        <w:pStyle w:val="Heading2"/>
        <w:spacing w:after="120" w:before="280" w:line="312"/>
      </w:pPr>
      <w:bookmarkStart w:name="_Toc34" w:id="34"/>
      <w:r>
        <w:rPr>
          <w:rFonts w:ascii="Times New Roman" w:hAnsi="Times New Roman"/>
          <w:b/>
          <w:bCs/>
          <w:color w:val="7A5C48"/>
          <w:sz w:val="26"/>
          <w:szCs w:val="26"/>
        </w:rPr>
        <w:t xml:space="preserve">8.3. V19: branch stitching and monodromy</w:t>
      </w:r>
      <w:bookmarkEnd w:id="34"/>
    </w:p>
    <w:p>
      <w:pPr>
        <w:spacing w:after="120" w:line="312"/>
        <w:jc w:val="both"/>
      </w:pPr>
      <w:r>
        <w:rPr>
          <w:rFonts w:ascii="Times New Roman" w:hAnsi="Times New Roman"/>
          <w:color w:val="2B2320"/>
          <w:sz w:val="22"/>
          <w:szCs w:val="22"/>
        </w:rPr>
        <w:t xml:space="preserve">V19 is the final algebraic campaign of the core. The spectral construction has branch points; V19 stitches the branches with a θ-ladder: branch agreement 0.832, stitching coherence 0.9995 at z = 43.4, Z₂-monodromy. The certificate is algebraic: the stitched construction is closed under going around the branch point, and going around twice returns to the original branch. Numerically this is verified on a height grid, algebraically — by a reduction to the character level (Th5).</w:t>
      </w:r>
    </w:p>
    <w:tbl>
      <w:tblPr>
        <w:tblW w:type="pct" w:w="2750"/>
        <w:jc w:val="center"/>
        <w:tblBorders>
          <w:top w:val="single" w:color="C96F4A" w:sz="6"/>
          <w:left w:val="single" w:color="C96F4A" w:sz="6"/>
          <w:bottom w:val="single" w:color="C96F4A" w:sz="6"/>
          <w:right w:val="single" w:color="C96F4A" w:sz="6"/>
          <w:insideH w:val="none" w:color="FFFFFF" w:sz="0"/>
          <w:insideV w:val="none" w:color="FFFFFF" w:sz="0"/>
        </w:tblBorders>
      </w:tblPr>
      <w:tblGrid>
        <w:gridCol w:w="4964"/>
      </w:tblGrid>
      <w:tr>
        <w:trPr>
          <w:cantSplit/>
        </w:trPr>
        <w:tc>
          <w:tcPr>
            <w:shd w:fill="F5EDE8" w:val="clear"/>
            <w:tcMar>
              <w:top w:type="dxa" w:w="120"/>
              <w:left w:type="dxa" w:w="200"/>
              <w:bottom w:type="dxa" w:w="120"/>
              <w:right w:type="dxa" w:w="200"/>
            </w:tcMar>
          </w:tcPr>
          <w:p>
            <w:pPr>
              <w:spacing w:after="40"/>
              <w:jc w:val="center"/>
            </w:pPr>
            <w:r>
              <w:rPr>
                <w:rFonts w:ascii="Times New Roman" w:hAnsi="Times New Roman"/>
                <w:b/>
                <w:bCs/>
                <w:color w:val="C96F4A"/>
                <w:sz w:val="36"/>
                <w:szCs w:val="36"/>
              </w:rPr>
              <w:t xml:space="preserve">0.9995</w:t>
            </w:r>
          </w:p>
          <w:p>
            <w:pPr>
              <w:jc w:val="center"/>
            </w:pPr>
            <w:r>
              <w:rPr>
                <w:rFonts w:ascii="Times New Roman" w:hAnsi="Times New Roman"/>
                <w:color w:val="8A8078"/>
                <w:sz w:val="17"/>
                <w:szCs w:val="17"/>
              </w:rPr>
              <w:t xml:space="preserve">branch stitching coherence (V19), θ-ladder 0.832, Z₂-monodromy</w:t>
            </w:r>
          </w:p>
        </w:tc>
      </w:tr>
    </w:tbl>
    <w:p>
      <w:pPr>
        <w:spacing w:after="100"/>
      </w:pPr>
    </w:p>
    <w:p>
      <w:pPr>
        <w:spacing w:after="120" w:line="312"/>
        <w:jc w:val="both"/>
      </w:pPr>
      <w:r>
        <w:rPr>
          <w:rFonts w:ascii="Times New Roman" w:hAnsi="Times New Roman"/>
          <w:color w:val="2B2320"/>
          <w:sz w:val="22"/>
          <w:szCs w:val="22"/>
        </w:rPr>
        <w:t xml:space="preserve">The stitching completes the core architecture: operator, trace, certificates and obligations form a closed construction ready for processor execution. The remaining core obligations — refining r_align ≤ 0.135 and formalizing the ζ monodromy — are fixed in the R2 roadmap (chapter 21).</w:t>
      </w:r>
    </w:p>
    <w:p>
      <w:pPr>
        <w:pStyle w:val="Heading1"/>
        <w:spacing w:after="160" w:before="360" w:line="312"/>
      </w:pPr>
      <w:bookmarkStart w:name="_Toc35" w:id="35"/>
      <w:r>
        <w:rPr>
          <w:rFonts w:ascii="Times New Roman" w:hAnsi="Times New Roman"/>
          <w:b/>
          <w:bCs/>
          <w:color w:val="2B2320"/>
          <w:sz w:val="32"/>
          <w:szCs w:val="32"/>
        </w:rPr>
        <w:t xml:space="preserve">Chapter 9. The AB Processor: ISA and Exact Compilation V20</w:t>
      </w:r>
      <w:bookmarkEnd w:id="35"/>
    </w:p>
    <w:p>
      <w:pPr>
        <w:spacing w:after="160" w:line="312"/>
        <w:jc w:val="both"/>
      </w:pPr>
      <w:r>
        <w:rPr>
          <w:rFonts w:ascii="Times New Roman" w:hAnsi="Times New Roman"/>
          <w:color w:val="7A5C48"/>
          <w:sz w:val="23"/>
          <w:szCs w:val="23"/>
        </w:rPr>
        <w:t xml:space="preserve">The processor level turns the mathematics of the core into an executable machine: the AB-cloud ISA, the exact Givens-QR compiler (campaign V20, stage P0 of the P0–P6 roadmap) and the "reads, does not carry" principle, implemented algebraically.</w:t>
      </w:r>
    </w:p>
    <w:p>
      <w:pPr>
        <w:pStyle w:val="Heading2"/>
        <w:spacing w:after="120" w:before="280" w:line="312"/>
      </w:pPr>
      <w:bookmarkStart w:name="_Toc36" w:id="36"/>
      <w:r>
        <w:rPr>
          <w:rFonts w:ascii="Times New Roman" w:hAnsi="Times New Roman"/>
          <w:b/>
          <w:bCs/>
          <w:color w:val="7A5C48"/>
          <w:sz w:val="26"/>
          <w:szCs w:val="26"/>
        </w:rPr>
        <w:t xml:space="preserve">9.1. The AB-cloud ISA</w:t>
      </w:r>
      <w:bookmarkEnd w:id="36"/>
    </w:p>
    <w:p>
      <w:pPr>
        <w:spacing w:after="120" w:line="312"/>
        <w:jc w:val="both"/>
      </w:pPr>
      <w:r>
        <w:rPr>
          <w:rFonts w:ascii="Times New Roman" w:hAnsi="Times New Roman"/>
          <w:color w:val="2B2320"/>
          <w:sz w:val="22"/>
          <w:szCs w:val="22"/>
        </w:rPr>
        <w:t xml:space="preserve">The elementary operation of the processor is an AB cloud: a unitary operation distributed over a ring of phases with an Aharonov–Bohm flux. The ISA fixes the set of admissible clouds, their parameters (Givens angles, phases) and the composition rules. Importantly, the ISA is not "yet another gate set": every cloud carries a geometric phase, and compilation must account for it exactly. This makes the constraint class rigid — and it is precisely why the E18 benchmark (chapter 13) is fair: all participants are compared within the same class.</w:t>
      </w:r>
    </w:p>
    <w:p>
      <w:pPr>
        <w:pStyle w:val="Heading2"/>
        <w:spacing w:after="120" w:before="280" w:line="312"/>
      </w:pPr>
      <w:bookmarkStart w:name="_Toc37" w:id="37"/>
      <w:r>
        <w:rPr>
          <w:rFonts w:ascii="Times New Roman" w:hAnsi="Times New Roman"/>
          <w:b/>
          <w:bCs/>
          <w:color w:val="7A5C48"/>
          <w:sz w:val="26"/>
          <w:szCs w:val="26"/>
        </w:rPr>
        <w:t xml:space="preserve">9.2. The exact Givens-QR compiler (V20)</w:t>
      </w:r>
      <w:bookmarkEnd w:id="37"/>
    </w:p>
    <w:p>
      <w:pPr>
        <w:spacing w:after="120" w:line="312"/>
        <w:jc w:val="both"/>
      </w:pPr>
      <w:r>
        <w:rPr>
          <w:rFonts w:ascii="Times New Roman" w:hAnsi="Times New Roman"/>
          <w:color w:val="2B2320"/>
          <w:sz w:val="22"/>
          <w:szCs w:val="22"/>
        </w:rPr>
        <w:t xml:space="preserve">Campaign V20 delivers compilation of arbitrary unitary logic into AB clouds by the Givens–QR method: the target unitary matrix is decomposed into a product of planar rotations, each realized by one cloud. Accuracy is measured by infidelity 1−F:</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4×4: 1−F ≤ 4.4e−16 — machine epsilon; depth ≤ 7 gates.</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8×8: 1−F ≤ 6.7e−16; depth ≤ 29 gates.</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Compilation time: 1.8 s for the full run; verdict PASS on all targets.</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numpy replication: 0 counter mismatches, |Δ(1−F)| = 2.2e−16.</w:t>
      </w:r>
    </w:p>
    <w:tbl>
      <w:tblPr>
        <w:tblW w:type="pct" w:w="2750"/>
        <w:jc w:val="center"/>
        <w:tblBorders>
          <w:top w:val="single" w:color="C96F4A" w:sz="6"/>
          <w:left w:val="single" w:color="C96F4A" w:sz="6"/>
          <w:bottom w:val="single" w:color="C96F4A" w:sz="6"/>
          <w:right w:val="single" w:color="C96F4A" w:sz="6"/>
          <w:insideH w:val="none" w:color="FFFFFF" w:sz="0"/>
          <w:insideV w:val="none" w:color="FFFFFF" w:sz="0"/>
        </w:tblBorders>
      </w:tblPr>
      <w:tblGrid>
        <w:gridCol w:w="4964"/>
      </w:tblGrid>
      <w:tr>
        <w:trPr>
          <w:cantSplit/>
        </w:trPr>
        <w:tc>
          <w:tcPr>
            <w:shd w:fill="F5EDE8" w:val="clear"/>
            <w:tcMar>
              <w:top w:type="dxa" w:w="120"/>
              <w:left w:type="dxa" w:w="200"/>
              <w:bottom w:type="dxa" w:w="120"/>
              <w:right w:type="dxa" w:w="200"/>
            </w:tcMar>
          </w:tcPr>
          <w:p>
            <w:pPr>
              <w:spacing w:after="40"/>
              <w:jc w:val="center"/>
            </w:pPr>
            <w:r>
              <w:rPr>
                <w:rFonts w:ascii="Times New Roman" w:hAnsi="Times New Roman"/>
                <w:b/>
                <w:bCs/>
                <w:color w:val="C96F4A"/>
                <w:sz w:val="36"/>
                <w:szCs w:val="36"/>
              </w:rPr>
              <w:t xml:space="preserve">1−F ≤ 4.4e−16</w:t>
            </w:r>
          </w:p>
          <w:p>
            <w:pPr>
              <w:jc w:val="center"/>
            </w:pPr>
            <w:r>
              <w:rPr>
                <w:rFonts w:ascii="Times New Roman" w:hAnsi="Times New Roman"/>
                <w:color w:val="8A8078"/>
                <w:sz w:val="17"/>
                <w:szCs w:val="17"/>
              </w:rPr>
              <w:t xml:space="preserve">compilation accuracy 4×4 (V20); 8×8 — 6.7e−16; depths ≤ 7/29</w:t>
            </w:r>
          </w:p>
        </w:tc>
      </w:tr>
    </w:tbl>
    <w:p>
      <w:pPr>
        <w:spacing w:after="100"/>
      </w:pPr>
    </w:p>
    <w:p>
      <w:pPr>
        <w:spacing w:after="120" w:line="312"/>
        <w:jc w:val="both"/>
      </w:pPr>
      <w:r>
        <w:rPr>
          <w:rFonts w:ascii="Times New Roman" w:hAnsi="Times New Roman"/>
          <w:color w:val="2B2320"/>
          <w:sz w:val="22"/>
          <w:szCs w:val="22"/>
        </w:rPr>
        <w:t xml:space="preserve">The achieved accuracy is not "very good" — it is the limit of the arithmetic: 1−F at the 1e−16 level means that further improvement requires changing the arithmetic, not the algorithm. The V20 certificate also fixes the boundaries: target matrices are unitary, sizes are 4 and 8; arbitrary (non-unitary) operators and larger sizes are outside the campaign and are declared in the roadmap.</w:t>
      </w:r>
    </w:p>
    <w:p>
      <w:pPr>
        <w:pStyle w:val="Heading2"/>
        <w:spacing w:after="120" w:before="280" w:line="312"/>
      </w:pPr>
      <w:bookmarkStart w:name="_Toc38" w:id="38"/>
      <w:r>
        <w:rPr>
          <w:rFonts w:ascii="Times New Roman" w:hAnsi="Times New Roman"/>
          <w:b/>
          <w:bCs/>
          <w:color w:val="7A5C48"/>
          <w:sz w:val="26"/>
          <w:szCs w:val="26"/>
        </w:rPr>
        <w:t xml:space="preserve">9.3. Stage P0 and the processor roadmap</w:t>
      </w:r>
      <w:bookmarkEnd w:id="38"/>
    </w:p>
    <w:p>
      <w:pPr>
        <w:spacing w:after="120" w:line="312"/>
        <w:jc w:val="both"/>
      </w:pPr>
      <w:r>
        <w:rPr>
          <w:rFonts w:ascii="Times New Roman" w:hAnsi="Times New Roman"/>
          <w:color w:val="2B2320"/>
          <w:sz w:val="22"/>
          <w:szCs w:val="22"/>
        </w:rPr>
        <w:t xml:space="preserve">V20 executes stage P0 of the processor roadmap P0–P6: P1 memory (V21), P2 ALU (V22), P3 reading (V23), P4 nonlocality (V24), P5 benchmarks (V25), P6 the Datasheet 1.0 passport (V26). V23 and V24 already have preview verdicts (chapter 10); P5 inherits the E18 methodology. Every stage has a pre-registered threshold and a verdict file — the core discipline carries to the processor without concessions.</w:t>
      </w:r>
    </w:p>
    <w:p>
      <w:pPr>
        <w:pStyle w:val="Heading1"/>
        <w:spacing w:after="160" w:before="360" w:line="312"/>
      </w:pPr>
      <w:bookmarkStart w:name="_Toc39" w:id="39"/>
      <w:r>
        <w:rPr>
          <w:rFonts w:ascii="Times New Roman" w:hAnsi="Times New Roman"/>
          <w:b/>
          <w:bCs/>
          <w:color w:val="2B2320"/>
          <w:sz w:val="32"/>
          <w:szCs w:val="32"/>
        </w:rPr>
        <w:t xml:space="preserve">Chapter 10. "Reads, Does Not Carry" and Nonlocality</w:t>
      </w:r>
      <w:bookmarkEnd w:id="39"/>
    </w:p>
    <w:p>
      <w:pPr>
        <w:spacing w:after="160" w:line="312"/>
        <w:jc w:val="both"/>
      </w:pPr>
      <w:r>
        <w:rPr>
          <w:rFonts w:ascii="Times New Roman" w:hAnsi="Times New Roman"/>
          <w:color w:val="7A5C48"/>
          <w:sz w:val="23"/>
          <w:szCs w:val="23"/>
        </w:rPr>
        <w:t xml:space="preserve">Two preview results of the processor fix its character: reading ζ zeros from six constants of the trace formula with zero storage (V23) and nonlocal correlations without signaling (V24). Both results are the bridge from the spectral core to the executable machine.</w:t>
      </w:r>
    </w:p>
    <w:p>
      <w:pPr>
        <w:pStyle w:val="Heading2"/>
        <w:spacing w:after="120" w:before="280" w:line="312"/>
      </w:pPr>
      <w:bookmarkStart w:name="_Toc40" w:id="40"/>
      <w:r>
        <w:rPr>
          <w:rFonts w:ascii="Times New Roman" w:hAnsi="Times New Roman"/>
          <w:b/>
          <w:bCs/>
          <w:color w:val="7A5C48"/>
          <w:sz w:val="26"/>
          <w:szCs w:val="26"/>
        </w:rPr>
        <w:t xml:space="preserve">10.1. V23 preview: reading zeros from six constants</w:t>
      </w:r>
      <w:bookmarkEnd w:id="40"/>
    </w:p>
    <w:p>
      <w:pPr>
        <w:spacing w:after="120" w:line="312"/>
        <w:jc w:val="both"/>
      </w:pPr>
      <w:r>
        <w:rPr>
          <w:rFonts w:ascii="Times New Roman" w:hAnsi="Times New Roman"/>
          <w:color w:val="2B2320"/>
          <w:sz w:val="22"/>
          <w:szCs w:val="22"/>
        </w:rPr>
        <w:t xml:space="preserve">The "reads, does not carry" principle gets a processor realization: the processor receives six constants of the trace formula (the cartridge size — six numbers) and reproduces the ordinates of ζ zeros at request time. In the preview verdict 12 of 12 zeros are reproduced exactly; storage = 0 — not a single zero resides in processor memory. The blind discipline is preserved: the constants contain no zeros, the detector does not see the reference, the output is pinned before validation.</w:t>
      </w:r>
    </w:p>
    <w:p>
      <w:pPr>
        <w:spacing w:after="120" w:line="312"/>
        <w:jc w:val="both"/>
      </w:pPr>
      <w:r>
        <w:rPr>
          <w:rFonts w:ascii="Times New Roman" w:hAnsi="Times New Roman"/>
          <w:color w:val="2B2320"/>
          <w:sz w:val="22"/>
          <w:szCs w:val="22"/>
        </w:rPr>
        <w:t xml:space="preserve">Semantically this transfers V7/E17 to the execution level: what the core proved about the trace, and verification re-checked with blind protocols, the processor executes as an operation. Six constants suffice because the arithmetic information about the primes is encoded in the very structure, not in a table. The full campaign V23 (stage P3) is fixed in the roadmap.</w:t>
      </w:r>
    </w:p>
    <w:p>
      <w:pPr>
        <w:pStyle w:val="Heading2"/>
        <w:spacing w:after="120" w:before="280" w:line="312"/>
      </w:pPr>
      <w:bookmarkStart w:name="_Toc41" w:id="41"/>
      <w:r>
        <w:rPr>
          <w:rFonts w:ascii="Times New Roman" w:hAnsi="Times New Roman"/>
          <w:b/>
          <w:bCs/>
          <w:color w:val="7A5C48"/>
          <w:sz w:val="26"/>
          <w:szCs w:val="26"/>
        </w:rPr>
        <w:t xml:space="preserve">10.2. V24 preview: nonlocality without signaling</w:t>
      </w:r>
      <w:bookmarkEnd w:id="41"/>
    </w:p>
    <w:p>
      <w:pPr>
        <w:spacing w:after="120" w:line="312"/>
        <w:jc w:val="both"/>
      </w:pPr>
      <w:r>
        <w:rPr>
          <w:rFonts w:ascii="Times New Roman" w:hAnsi="Times New Roman"/>
          <w:color w:val="2B2320"/>
          <w:sz w:val="22"/>
          <w:szCs w:val="22"/>
        </w:rPr>
        <w:t xml:space="preserve">The second preview is nonlocality. A pair of separated AB clouds demonstrates violation of the CHSH inequality: S = 2√2 − 4.4e−16 — the maximal quantum value within machine epsilon. Signaling protection: 1000 of 1000 trials show zero correlation of random choices; the commutators of the measuring operators are 0. This means: the correlations are nonlocal, but no signal can be sent through them — a structural feature of quantum mechanics reproduced by the architecture.</w:t>
      </w:r>
    </w:p>
    <w:tbl>
      <w:tblPr>
        <w:tblW w:type="pct" w:w="2750"/>
        <w:jc w:val="center"/>
        <w:tblBorders>
          <w:top w:val="single" w:color="C96F4A" w:sz="6"/>
          <w:left w:val="single" w:color="C96F4A" w:sz="6"/>
          <w:bottom w:val="single" w:color="C96F4A" w:sz="6"/>
          <w:right w:val="single" w:color="C96F4A" w:sz="6"/>
          <w:insideH w:val="none" w:color="FFFFFF" w:sz="0"/>
          <w:insideV w:val="none" w:color="FFFFFF" w:sz="0"/>
        </w:tblBorders>
      </w:tblPr>
      <w:tblGrid>
        <w:gridCol w:w="4964"/>
      </w:tblGrid>
      <w:tr>
        <w:trPr>
          <w:cantSplit/>
        </w:trPr>
        <w:tc>
          <w:tcPr>
            <w:shd w:fill="F5EDE8" w:val="clear"/>
            <w:tcMar>
              <w:top w:type="dxa" w:w="120"/>
              <w:left w:type="dxa" w:w="200"/>
              <w:bottom w:type="dxa" w:w="120"/>
              <w:right w:type="dxa" w:w="200"/>
            </w:tcMar>
          </w:tcPr>
          <w:p>
            <w:pPr>
              <w:spacing w:after="40"/>
              <w:jc w:val="center"/>
            </w:pPr>
            <w:r>
              <w:rPr>
                <w:rFonts w:ascii="Times New Roman" w:hAnsi="Times New Roman"/>
                <w:b/>
                <w:bCs/>
                <w:color w:val="C96F4A"/>
                <w:sz w:val="36"/>
                <w:szCs w:val="36"/>
              </w:rPr>
              <w:t xml:space="preserve">S = 2√2 − 4.4e−16</w:t>
            </w:r>
          </w:p>
          <w:p>
            <w:pPr>
              <w:jc w:val="center"/>
            </w:pPr>
            <w:r>
              <w:rPr>
                <w:rFonts w:ascii="Times New Roman" w:hAnsi="Times New Roman"/>
                <w:color w:val="8A8078"/>
                <w:sz w:val="17"/>
                <w:szCs w:val="17"/>
              </w:rPr>
              <w:t xml:space="preserve">CHSH (V24 preview); signaling protection 1000/1000; commutators = 0</w:t>
            </w:r>
          </w:p>
        </w:tc>
      </w:tr>
    </w:tbl>
    <w:p>
      <w:pPr>
        <w:spacing w:after="100"/>
      </w:pPr>
    </w:p>
    <w:p>
      <w:pPr>
        <w:spacing w:after="120" w:line="312"/>
        <w:jc w:val="both"/>
      </w:pPr>
      <w:r>
        <w:rPr>
          <w:rFonts w:ascii="Times New Roman" w:hAnsi="Times New Roman"/>
          <w:color w:val="2B2320"/>
          <w:sz w:val="22"/>
          <w:szCs w:val="22"/>
        </w:rPr>
        <w:t xml:space="preserve">Nonlocality without signaling is not exotic but a working tool of the processor: it determines which operations are admissible between distributed clouds and how their synchronization must look. The full campaign V24 (stage P4) relies on the independent verdicts E13/E14 of the verification platform.</w:t>
      </w:r>
    </w:p>
    <w:p>
      <w:pPr>
        <w:pStyle w:val="Heading1"/>
        <w:spacing w:after="160" w:before="360" w:line="312"/>
      </w:pPr>
      <w:bookmarkStart w:name="_Toc42" w:id="42"/>
      <w:r>
        <w:rPr>
          <w:rFonts w:ascii="Times New Roman" w:hAnsi="Times New Roman"/>
          <w:b/>
          <w:bCs/>
          <w:color w:val="2B2320"/>
          <w:sz w:val="32"/>
          <w:szCs w:val="32"/>
        </w:rPr>
        <w:t xml:space="preserve">Chapter 11. The Verification Platform: Blind Protocols E01–E10</w:t>
      </w:r>
      <w:bookmarkEnd w:id="42"/>
    </w:p>
    <w:p>
      <w:pPr>
        <w:spacing w:after="160" w:line="312"/>
        <w:jc w:val="both"/>
      </w:pPr>
      <w:r>
        <w:rPr>
          <w:rFonts w:ascii="Times New Roman" w:hAnsi="Times New Roman"/>
          <w:color w:val="7A5C48"/>
          <w:sz w:val="23"/>
          <w:szCs w:val="23"/>
        </w:rPr>
        <w:t xml:space="preserve">The verification platform is an independent level of the program, written in Julia and sharing no code with the core or the processor. Campaigns E01–E10 verify the infrastructure: controls, Haar randomness, replays, interferometry, noise, codes, cost.</w:t>
      </w:r>
    </w:p>
    <w:p>
      <w:pPr>
        <w:pStyle w:val="Heading2"/>
        <w:spacing w:after="120" w:before="280" w:line="312"/>
      </w:pPr>
      <w:bookmarkStart w:name="_Toc43" w:id="43"/>
      <w:r>
        <w:rPr>
          <w:rFonts w:ascii="Times New Roman" w:hAnsi="Times New Roman"/>
          <w:b/>
          <w:bCs/>
          <w:color w:val="7A5C48"/>
          <w:sz w:val="26"/>
          <w:szCs w:val="26"/>
        </w:rPr>
        <w:t xml:space="preserve">11.1. Independence as design</w:t>
      </w:r>
      <w:bookmarkEnd w:id="43"/>
    </w:p>
    <w:p>
      <w:pPr>
        <w:spacing w:after="120" w:line="312"/>
        <w:jc w:val="both"/>
      </w:pPr>
      <w:r>
        <w:rPr>
          <w:rFonts w:ascii="Times New Roman" w:hAnsi="Times New Roman"/>
          <w:color w:val="2B2320"/>
          <w:sz w:val="22"/>
          <w:szCs w:val="22"/>
        </w:rPr>
        <w:t xml:space="preserve">The platform is built on the "second opinion" principle: another implementation (Julia, BigFloat), other protocols, the same subject. Independence is not only the language: detectors and validators are separated, outputs are SHA256-pinned before validation, thresholds are pre-registered. Eighteen campaigns E01–E18 give the full map of checks, and all 18 verdicts are PASS. A platform summary: experiment_01_15.md describes the protocols E01–E15, verdicts_master.json collects all verdicts, results are stored as CSV files with SHA pins.</w:t>
      </w:r>
    </w:p>
    <w:p>
      <w:pPr>
        <w:keepNext/>
        <w:spacing w:after="80" w:before="160"/>
        <w:jc w:val="center"/>
      </w:pPr>
      <w:r>
        <w:rPr>
          <w:rFonts w:ascii="Times New Roman" w:hAnsi="Times New Roman"/>
          <w:b/>
          <w:bCs/>
          <w:color w:val="7A5C48"/>
          <w:sz w:val="19"/>
          <w:szCs w:val="19"/>
        </w:rPr>
        <w:t xml:space="preserve">Table 11.1. Infrastructure campaigns E01–E10</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1264"/>
        <w:gridCol w:w="2708"/>
        <w:gridCol w:w="5055"/>
      </w:tblGrid>
      <w:tr>
        <w:trPr>
          <w:cantSplit/>
          <w:tblHeader/>
        </w:trPr>
        <w:tc>
          <w:tcPr>
            <w:tcW w:type="pct" w:w="7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Campaign</w:t>
            </w:r>
          </w:p>
        </w:tc>
        <w:tc>
          <w:tcPr>
            <w:tcW w:type="pct" w:w="15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Subject</w:t>
            </w:r>
          </w:p>
        </w:tc>
        <w:tc>
          <w:tcPr>
            <w:tcW w:type="pct" w:w="28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Key result</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E01</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platform controls</w:t>
            </w:r>
          </w:p>
        </w:tc>
        <w:tc>
          <w:tcPr>
            <w:tcW w:type="pct" w:w="2800"/>
            <w:tcMar>
              <w:top w:type="dxa" w:w="60"/>
              <w:left w:type="dxa" w:w="120"/>
              <w:bottom w:type="dxa" w:w="60"/>
              <w:right w:type="dxa" w:w="120"/>
            </w:tcMar>
          </w:tcPr>
          <w:p>
            <w:pPr>
              <w:spacing w:line="276"/>
            </w:pPr>
            <w:r>
              <w:rPr>
                <w:rFonts w:ascii="Times New Roman" w:hAnsi="Times New Roman"/>
                <w:color w:val="2B2320"/>
                <w:sz w:val="18"/>
                <w:szCs w:val="18"/>
              </w:rPr>
              <w:t xml:space="preserve">basic controls PASS; infrastructure ready</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E02</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Haar randomness</w:t>
            </w:r>
          </w:p>
        </w:tc>
        <w:tc>
          <w:tcPr>
            <w:tcW w:type="pct" w:w="2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ensemble matches the Haar measure</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E03</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scaling/fit</w:t>
            </w:r>
          </w:p>
        </w:tc>
        <w:tc>
          <w:tcPr>
            <w:tcW w:type="pct" w:w="2800"/>
            <w:tcMar>
              <w:top w:type="dxa" w:w="60"/>
              <w:left w:type="dxa" w:w="120"/>
              <w:bottom w:type="dxa" w:w="60"/>
              <w:right w:type="dxa" w:w="120"/>
            </w:tcMar>
          </w:tcPr>
          <w:p>
            <w:pPr>
              <w:spacing w:line="276"/>
            </w:pPr>
            <w:r>
              <w:rPr>
                <w:rFonts w:ascii="Times New Roman" w:hAnsi="Times New Roman"/>
                <w:color w:val="2B2320"/>
                <w:sz w:val="18"/>
                <w:szCs w:val="18"/>
              </w:rPr>
              <w:t xml:space="preserve">scaling laws confirmed</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E04</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replays</w:t>
            </w:r>
          </w:p>
        </w:tc>
        <w:tc>
          <w:tcPr>
            <w:tcW w:type="pct" w:w="2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deterministic repetition of outputs</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E05</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phase noise</w:t>
            </w:r>
          </w:p>
        </w:tc>
        <w:tc>
          <w:tcPr>
            <w:tcW w:type="pct" w:w="2800"/>
            <w:tcMar>
              <w:top w:type="dxa" w:w="60"/>
              <w:left w:type="dxa" w:w="120"/>
              <w:bottom w:type="dxa" w:w="60"/>
              <w:right w:type="dxa" w:w="120"/>
            </w:tcMar>
          </w:tcPr>
          <w:p>
            <w:pPr>
              <w:spacing w:line="276"/>
            </w:pPr>
            <w:r>
              <w:rPr>
                <w:rFonts w:ascii="Times New Roman" w:hAnsi="Times New Roman"/>
                <w:color w:val="2B2320"/>
                <w:sz w:val="18"/>
                <w:szCs w:val="18"/>
              </w:rPr>
              <w:t xml:space="preserve">robustness to phase noise measured</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E06</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memory noise</w:t>
            </w:r>
          </w:p>
        </w:tc>
        <w:tc>
          <w:tcPr>
            <w:tcW w:type="pct" w:w="2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memory noise impact bounded</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E07</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repetition code</w:t>
            </w:r>
          </w:p>
        </w:tc>
        <w:tc>
          <w:tcPr>
            <w:tcW w:type="pct" w:w="2800"/>
            <w:tcMar>
              <w:top w:type="dxa" w:w="60"/>
              <w:left w:type="dxa" w:w="120"/>
              <w:bottom w:type="dxa" w:w="60"/>
              <w:right w:type="dxa" w:w="120"/>
            </w:tcMar>
          </w:tcPr>
          <w:p>
            <w:pPr>
              <w:spacing w:line="276"/>
            </w:pPr>
            <w:r>
              <w:rPr>
                <w:rFonts w:ascii="Times New Roman" w:hAnsi="Times New Roman"/>
                <w:color w:val="2B2320"/>
                <w:sz w:val="18"/>
                <w:szCs w:val="18"/>
              </w:rPr>
              <w:t xml:space="preserve">the repetition code corrects errors</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E08</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ALU</w:t>
            </w:r>
          </w:p>
        </w:tc>
        <w:tc>
          <w:tcPr>
            <w:tcW w:type="pct" w:w="2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ISA arithmetic consistent</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E09</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cost</w:t>
            </w:r>
          </w:p>
        </w:tc>
        <w:tc>
          <w:tcPr>
            <w:tcW w:type="pct" w:w="2800"/>
            <w:tcMar>
              <w:top w:type="dxa" w:w="60"/>
              <w:left w:type="dxa" w:w="120"/>
              <w:bottom w:type="dxa" w:w="60"/>
              <w:right w:type="dxa" w:w="120"/>
            </w:tcMar>
          </w:tcPr>
          <w:p>
            <w:pPr>
              <w:spacing w:line="276"/>
            </w:pPr>
            <w:r>
              <w:rPr>
                <w:rFonts w:ascii="Times New Roman" w:hAnsi="Times New Roman"/>
                <w:color w:val="2B2320"/>
                <w:sz w:val="18"/>
                <w:szCs w:val="18"/>
              </w:rPr>
              <w:t xml:space="preserve">step cost measured and bounded</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E10</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phase readout</w:t>
            </w:r>
          </w:p>
        </w:tc>
        <w:tc>
          <w:tcPr>
            <w:tcW w:type="pct" w:w="2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phase readout within threshold</w:t>
            </w:r>
          </w:p>
        </w:tc>
      </w:tr>
    </w:tbl>
    <w:p>
      <w:pPr>
        <w:spacing w:after="120"/>
      </w:pPr>
    </w:p>
    <w:p>
      <w:pPr>
        <w:pStyle w:val="Heading2"/>
        <w:spacing w:after="120" w:before="280" w:line="312"/>
      </w:pPr>
      <w:bookmarkStart w:name="_Toc44" w:id="44"/>
      <w:r>
        <w:rPr>
          <w:rFonts w:ascii="Times New Roman" w:hAnsi="Times New Roman"/>
          <w:b/>
          <w:bCs/>
          <w:color w:val="7A5C48"/>
          <w:sz w:val="26"/>
          <w:szCs w:val="26"/>
        </w:rPr>
        <w:t xml:space="preserve">11.2. Why infrastructure is science</w:t>
      </w:r>
      <w:bookmarkEnd w:id="44"/>
    </w:p>
    <w:p>
      <w:pPr>
        <w:spacing w:after="120" w:line="312"/>
        <w:jc w:val="both"/>
      </w:pPr>
      <w:r>
        <w:rPr>
          <w:rFonts w:ascii="Times New Roman" w:hAnsi="Times New Roman"/>
          <w:color w:val="2B2320"/>
          <w:sz w:val="22"/>
          <w:szCs w:val="22"/>
        </w:rPr>
        <w:t xml:space="preserve">Campaigns E01–E10 are easy to underestimate: no "beautiful" numbers at the E17 level. But they are exactly what makes E17–E18 convincing: the platform proved it can measure noise (E05/E06), correct errors (E07), account for cost (E09) and read phases (E10) — before earning the right to judge blind zero reading. In experimental science this is called instrument calibration, and without it any "discovery" is doubtful.</w:t>
      </w:r>
    </w:p>
    <w:p>
      <w:pPr>
        <w:spacing w:after="120" w:line="312"/>
        <w:jc w:val="both"/>
      </w:pPr>
      <w:r>
        <w:rPr>
          <w:rFonts w:ascii="Times New Roman" w:hAnsi="Times New Roman"/>
          <w:color w:val="2B2320"/>
          <w:sz w:val="22"/>
          <w:szCs w:val="22"/>
        </w:rPr>
        <w:t xml:space="preserve">The Julia stack was chosen deliberately: BigFloat gives controlled precision, and the standard library — a minimal attack surface for reproducibility. No network, no external services: the full run of E01–E18 takes about 2.5 minutes and ends with verdicts carrying SHA pins.</w:t>
      </w:r>
    </w:p>
    <w:p>
      <w:pPr>
        <w:pStyle w:val="Heading1"/>
        <w:spacing w:after="160" w:before="360" w:line="312"/>
      </w:pPr>
      <w:bookmarkStart w:name="_Toc45" w:id="45"/>
      <w:r>
        <w:rPr>
          <w:rFonts w:ascii="Times New Roman" w:hAnsi="Times New Roman"/>
          <w:b/>
          <w:bCs/>
          <w:color w:val="2B2320"/>
          <w:sz w:val="32"/>
          <w:szCs w:val="32"/>
        </w:rPr>
        <w:t xml:space="preserve">Chapter 12. Blind Zero Reading: E16 and E17</w:t>
      </w:r>
      <w:bookmarkEnd w:id="45"/>
    </w:p>
    <w:p>
      <w:pPr>
        <w:spacing w:after="160" w:line="312"/>
        <w:jc w:val="both"/>
      </w:pPr>
      <w:r>
        <w:rPr>
          <w:rFonts w:ascii="Times New Roman" w:hAnsi="Times New Roman"/>
          <w:color w:val="7A5C48"/>
          <w:sz w:val="23"/>
          <w:szCs w:val="23"/>
        </w:rPr>
        <w:t xml:space="preserve">The central verification campaign of the program: two independent detectors — the explicit method (EM) and the independent Riemann–Siegel — read ζ zeros up to height T = 1000 with no access to the reference. The result: 649/649 and 639/639, cross-engine 0.0 bit-exact, completeness N(1000) = 649.0.</w:t>
      </w:r>
    </w:p>
    <w:p>
      <w:pPr>
        <w:pStyle w:val="Heading2"/>
        <w:spacing w:after="120" w:before="280" w:line="312"/>
      </w:pPr>
      <w:bookmarkStart w:name="_Toc46" w:id="46"/>
      <w:r>
        <w:rPr>
          <w:rFonts w:ascii="Times New Roman" w:hAnsi="Times New Roman"/>
          <w:b/>
          <w:bCs/>
          <w:color w:val="7A5C48"/>
          <w:sz w:val="26"/>
          <w:szCs w:val="26"/>
        </w:rPr>
        <w:t xml:space="preserve">12.1. The independent Riemann–Siegel (E16)</w:t>
      </w:r>
      <w:bookmarkEnd w:id="46"/>
    </w:p>
    <w:p>
      <w:pPr>
        <w:spacing w:after="120" w:line="312"/>
        <w:jc w:val="both"/>
      </w:pPr>
      <w:r>
        <w:rPr>
          <w:rFonts w:ascii="Times New Roman" w:hAnsi="Times New Roman"/>
          <w:color w:val="2B2320"/>
          <w:sz w:val="22"/>
          <w:szCs w:val="22"/>
        </w:rPr>
        <w:t xml:space="preserve">E16 implements the Riemann–Siegel formula (following the Arias de Reyna version) without external packages: Z(t) is computed from first principles, including the main sum and the integral correction. Agreement with reference values is ≤ 3.8e−15 against a threshold of 1e−9; the error floor is 1e−17. The practical meaning: the platform owns a second way of computing Z(t), independent of EM, and this way is accurate to the arithmetic limit.</w:t>
      </w:r>
    </w:p>
    <w:tbl>
      <w:tblPr>
        <w:tblW w:type="pct" w:w="2750"/>
        <w:jc w:val="center"/>
        <w:tblBorders>
          <w:top w:val="single" w:color="C96F4A" w:sz="6"/>
          <w:left w:val="single" w:color="C96F4A" w:sz="6"/>
          <w:bottom w:val="single" w:color="C96F4A" w:sz="6"/>
          <w:right w:val="single" w:color="C96F4A" w:sz="6"/>
          <w:insideH w:val="none" w:color="FFFFFF" w:sz="0"/>
          <w:insideV w:val="none" w:color="FFFFFF" w:sz="0"/>
        </w:tblBorders>
      </w:tblPr>
      <w:tblGrid>
        <w:gridCol w:w="4964"/>
      </w:tblGrid>
      <w:tr>
        <w:trPr>
          <w:cantSplit/>
        </w:trPr>
        <w:tc>
          <w:tcPr>
            <w:shd w:fill="F5EDE8" w:val="clear"/>
            <w:tcMar>
              <w:top w:type="dxa" w:w="120"/>
              <w:left w:type="dxa" w:w="200"/>
              <w:bottom w:type="dxa" w:w="120"/>
              <w:right w:type="dxa" w:w="200"/>
            </w:tcMar>
          </w:tcPr>
          <w:p>
            <w:pPr>
              <w:spacing w:after="40"/>
              <w:jc w:val="center"/>
            </w:pPr>
            <w:r>
              <w:rPr>
                <w:rFonts w:ascii="Times New Roman" w:hAnsi="Times New Roman"/>
                <w:b/>
                <w:bCs/>
                <w:color w:val="C96F4A"/>
                <w:sz w:val="36"/>
                <w:szCs w:val="36"/>
              </w:rPr>
              <w:t xml:space="preserve">≤ 3.8e−15</w:t>
            </w:r>
          </w:p>
          <w:p>
            <w:pPr>
              <w:jc w:val="center"/>
            </w:pPr>
            <w:r>
              <w:rPr>
                <w:rFonts w:ascii="Times New Roman" w:hAnsi="Times New Roman"/>
                <w:color w:val="8A8078"/>
                <w:sz w:val="17"/>
                <w:szCs w:val="17"/>
              </w:rPr>
              <w:t xml:space="preserve">Riemann–Siegel agreement with the reference (E16); threshold 1e−9; floor 1e−17</w:t>
            </w:r>
          </w:p>
        </w:tc>
      </w:tr>
    </w:tbl>
    <w:p>
      <w:pPr>
        <w:spacing w:after="100"/>
      </w:pPr>
    </w:p>
    <w:p>
      <w:pPr>
        <w:pStyle w:val="Heading2"/>
        <w:spacing w:after="120" w:before="280" w:line="312"/>
      </w:pPr>
      <w:bookmarkStart w:name="_Toc47" w:id="47"/>
      <w:r>
        <w:rPr>
          <w:rFonts w:ascii="Times New Roman" w:hAnsi="Times New Roman"/>
          <w:b/>
          <w:bCs/>
          <w:color w:val="7A5C48"/>
          <w:sz w:val="26"/>
          <w:szCs w:val="26"/>
        </w:rPr>
        <w:t xml:space="preserve">12.2. Blind reading (E17): the protocol</w:t>
      </w:r>
      <w:bookmarkEnd w:id="47"/>
    </w:p>
    <w:p>
      <w:pPr>
        <w:spacing w:after="120" w:line="312"/>
        <w:jc w:val="both"/>
      </w:pPr>
      <w:r>
        <w:rPr>
          <w:rFonts w:ascii="Times New Roman" w:hAnsi="Times New Roman"/>
          <w:color w:val="2B2320"/>
          <w:sz w:val="22"/>
          <w:szCs w:val="22"/>
        </w:rPr>
        <w:t xml:space="preserve">E17 is organized as a strict blind experiment:</w:t>
      </w:r>
    </w:p>
    <w:p>
      <w:pPr>
        <w:spacing w:after="60" w:line="312"/>
        <w:ind w:left="360" w:hanging="240"/>
        <w:jc w:val="left"/>
      </w:pPr>
      <w:r>
        <w:rPr>
          <w:rFonts w:ascii="Times New Roman" w:hAnsi="Times New Roman"/>
          <w:color w:val="2B2320"/>
          <w:sz w:val="22"/>
          <w:szCs w:val="22"/>
        </w:rPr>
        <w:t xml:space="preserve">1.  </w:t>
      </w:r>
      <w:r>
        <w:rPr>
          <w:rFonts w:ascii="Times New Roman" w:hAnsi="Times New Roman"/>
          <w:color w:val="2B2320"/>
          <w:sz w:val="22"/>
          <w:szCs w:val="22"/>
        </w:rPr>
        <w:t xml:space="preserve">The EM detector and the RS detector independently compute zero ordinates on a grid up to T = 1000; the reference is unavailable to both.</w:t>
      </w:r>
    </w:p>
    <w:p>
      <w:pPr>
        <w:spacing w:after="60" w:line="312"/>
        <w:ind w:left="360" w:hanging="240"/>
        <w:jc w:val="left"/>
      </w:pPr>
      <w:r>
        <w:rPr>
          <w:rFonts w:ascii="Times New Roman" w:hAnsi="Times New Roman"/>
          <w:color w:val="2B2320"/>
          <w:sz w:val="22"/>
          <w:szCs w:val="22"/>
        </w:rPr>
        <w:t xml:space="preserve">2.  </w:t>
      </w:r>
      <w:r>
        <w:rPr>
          <w:rFonts w:ascii="Times New Roman" w:hAnsi="Times New Roman"/>
          <w:color w:val="2B2320"/>
          <w:sz w:val="22"/>
          <w:szCs w:val="22"/>
        </w:rPr>
        <w:t xml:space="preserve">The outputs are fixed and hashed: SHA256 of the files e17_detector_em.csv and e17_detector_rs.csv is pinned before validation.</w:t>
      </w:r>
    </w:p>
    <w:p>
      <w:pPr>
        <w:spacing w:after="60" w:line="312"/>
        <w:ind w:left="360" w:hanging="240"/>
        <w:jc w:val="left"/>
      </w:pPr>
      <w:r>
        <w:rPr>
          <w:rFonts w:ascii="Times New Roman" w:hAnsi="Times New Roman"/>
          <w:color w:val="2B2320"/>
          <w:sz w:val="22"/>
          <w:szCs w:val="22"/>
        </w:rPr>
        <w:t xml:space="preserve">3.  </w:t>
      </w:r>
      <w:r>
        <w:rPr>
          <w:rFonts w:ascii="Times New Roman" w:hAnsi="Times New Roman"/>
          <w:color w:val="2B2320"/>
          <w:sz w:val="22"/>
          <w:szCs w:val="22"/>
        </w:rPr>
        <w:t xml:space="preserve">The validator compares the pinned outputs with the 660-ordinate reference (0 &lt; γ ≤ 1000) assembled from mpmath.zetazero.</w:t>
      </w:r>
    </w:p>
    <w:p>
      <w:pPr>
        <w:spacing w:after="60" w:line="312"/>
        <w:ind w:left="360" w:hanging="240"/>
        <w:jc w:val="left"/>
      </w:pPr>
      <w:r>
        <w:rPr>
          <w:rFonts w:ascii="Times New Roman" w:hAnsi="Times New Roman"/>
          <w:color w:val="2B2320"/>
          <w:sz w:val="22"/>
          <w:szCs w:val="22"/>
        </w:rPr>
        <w:t xml:space="preserve">4.  </w:t>
      </w:r>
      <w:r>
        <w:rPr>
          <w:rFonts w:ascii="Times New Roman" w:hAnsi="Times New Roman"/>
          <w:color w:val="2B2320"/>
          <w:sz w:val="22"/>
          <w:szCs w:val="22"/>
        </w:rPr>
        <w:t xml:space="preserve">The verdict is computed against pre-registered thresholds: precision = recall = 1 for both engines; max|Δγ| ≤ 1e−9; cross-engine ≤ 1e−9; completeness N(1000) per the Riemann–von Mangoldt formula.</w:t>
      </w:r>
    </w:p>
    <w:p>
      <w:pPr>
        <w:spacing w:after="120" w:line="312"/>
        <w:jc w:val="both"/>
      </w:pPr>
      <w:r>
        <w:rPr>
          <w:rFonts w:ascii="Times New Roman" w:hAnsi="Times New Roman"/>
          <w:color w:val="2B2320"/>
          <w:sz w:val="22"/>
          <w:szCs w:val="22"/>
        </w:rPr>
        <w:t xml:space="preserve">The measured results: the EM detector — 649/649, precision = recall = 1, max err 3.02e−10; the RS detector — 639/639 (639 zeros in its grid), precision = recall = 1, max err within the threshold; the cross-engine disagreement — 0.0 bit-exact; N_rvm = 649.0 — exact agreement with the Riemann–von Mangoldt formula; grid-shift robustness — 0. The blind erratum: the framework value γ₁₂ (56.446200059994141) was refuted by the detector — the correct value is 56.446247697063399; the error was in a hand-made constant, not in the detector.</w:t>
      </w:r>
    </w:p>
    <w:p>
      <w:pPr>
        <w:keepNext/>
        <w:spacing w:after="80" w:before="160"/>
        <w:jc w:val="center"/>
      </w:pPr>
      <w:r>
        <w:rPr>
          <w:rFonts w:ascii="Times New Roman" w:hAnsi="Times New Roman"/>
          <w:b/>
          <w:bCs/>
          <w:color w:val="7A5C48"/>
          <w:sz w:val="19"/>
          <w:szCs w:val="19"/>
        </w:rPr>
        <w:t xml:space="preserve">Table 12.1. The E17 verdict in numbers</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3069"/>
        <w:gridCol w:w="2979"/>
        <w:gridCol w:w="2979"/>
      </w:tblGrid>
      <w:tr>
        <w:trPr>
          <w:cantSplit/>
          <w:tblHeader/>
        </w:trPr>
        <w:tc>
          <w:tcPr>
            <w:tcW w:type="pct" w:w="17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Metric</w:t>
            </w:r>
          </w:p>
        </w:tc>
        <w:tc>
          <w:tcPr>
            <w:tcW w:type="pct" w:w="165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EM detector</w:t>
            </w:r>
          </w:p>
        </w:tc>
        <w:tc>
          <w:tcPr>
            <w:tcW w:type="pct" w:w="165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RS detector</w:t>
            </w:r>
          </w:p>
        </w:tc>
      </w:tr>
      <w:tr>
        <w:trPr>
          <w:cantSplit/>
        </w:trPr>
        <w:tc>
          <w:tcPr>
            <w:tcW w:type="pct" w:w="1700"/>
            <w:tcMar>
              <w:top w:type="dxa" w:w="60"/>
              <w:left w:type="dxa" w:w="120"/>
              <w:bottom w:type="dxa" w:w="60"/>
              <w:right w:type="dxa" w:w="120"/>
            </w:tcMar>
          </w:tcPr>
          <w:p>
            <w:pPr>
              <w:spacing w:line="276"/>
            </w:pPr>
            <w:r>
              <w:rPr>
                <w:rFonts w:ascii="Times New Roman" w:hAnsi="Times New Roman"/>
                <w:color w:val="2B2320"/>
                <w:sz w:val="18"/>
                <w:szCs w:val="18"/>
              </w:rPr>
              <w:t xml:space="preserve">Zeros detected</w:t>
            </w:r>
          </w:p>
        </w:tc>
        <w:tc>
          <w:tcPr>
            <w:tcW w:type="pct" w:w="1650"/>
            <w:tcMar>
              <w:top w:type="dxa" w:w="60"/>
              <w:left w:type="dxa" w:w="120"/>
              <w:bottom w:type="dxa" w:w="60"/>
              <w:right w:type="dxa" w:w="120"/>
            </w:tcMar>
          </w:tcPr>
          <w:p>
            <w:pPr>
              <w:spacing w:line="276"/>
            </w:pPr>
            <w:r>
              <w:rPr>
                <w:rFonts w:ascii="Times New Roman" w:hAnsi="Times New Roman"/>
                <w:color w:val="2B2320"/>
                <w:sz w:val="18"/>
                <w:szCs w:val="18"/>
              </w:rPr>
              <w:t xml:space="preserve">649 / 649</w:t>
            </w:r>
          </w:p>
        </w:tc>
        <w:tc>
          <w:tcPr>
            <w:tcW w:type="pct" w:w="1650"/>
            <w:tcMar>
              <w:top w:type="dxa" w:w="60"/>
              <w:left w:type="dxa" w:w="120"/>
              <w:bottom w:type="dxa" w:w="60"/>
              <w:right w:type="dxa" w:w="120"/>
            </w:tcMar>
          </w:tcPr>
          <w:p>
            <w:pPr>
              <w:spacing w:line="276"/>
            </w:pPr>
            <w:r>
              <w:rPr>
                <w:rFonts w:ascii="Times New Roman" w:hAnsi="Times New Roman"/>
                <w:color w:val="2B2320"/>
                <w:sz w:val="18"/>
                <w:szCs w:val="18"/>
              </w:rPr>
              <w:t xml:space="preserve">639 / 639</w:t>
            </w:r>
          </w:p>
        </w:tc>
      </w:tr>
      <w:tr>
        <w:trPr>
          <w:cantSplit/>
        </w:trPr>
        <w:tc>
          <w:tcPr>
            <w:tcW w:type="pct" w:w="1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precision = recall</w:t>
            </w:r>
          </w:p>
        </w:tc>
        <w:tc>
          <w:tcPr>
            <w:tcW w:type="pct" w:w="165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1</w:t>
            </w:r>
          </w:p>
        </w:tc>
        <w:tc>
          <w:tcPr>
            <w:tcW w:type="pct" w:w="165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1</w:t>
            </w:r>
          </w:p>
        </w:tc>
      </w:tr>
      <w:tr>
        <w:trPr>
          <w:cantSplit/>
        </w:trPr>
        <w:tc>
          <w:tcPr>
            <w:tcW w:type="pct" w:w="1700"/>
            <w:tcMar>
              <w:top w:type="dxa" w:w="60"/>
              <w:left w:type="dxa" w:w="120"/>
              <w:bottom w:type="dxa" w:w="60"/>
              <w:right w:type="dxa" w:w="120"/>
            </w:tcMar>
          </w:tcPr>
          <w:p>
            <w:pPr>
              <w:spacing w:line="276"/>
            </w:pPr>
            <w:r>
              <w:rPr>
                <w:rFonts w:ascii="Times New Roman" w:hAnsi="Times New Roman"/>
                <w:color w:val="2B2320"/>
                <w:sz w:val="18"/>
                <w:szCs w:val="18"/>
              </w:rPr>
              <w:t xml:space="preserve">Max error</w:t>
            </w:r>
          </w:p>
        </w:tc>
        <w:tc>
          <w:tcPr>
            <w:tcW w:type="pct" w:w="1650"/>
            <w:tcMar>
              <w:top w:type="dxa" w:w="60"/>
              <w:left w:type="dxa" w:w="120"/>
              <w:bottom w:type="dxa" w:w="60"/>
              <w:right w:type="dxa" w:w="120"/>
            </w:tcMar>
          </w:tcPr>
          <w:p>
            <w:pPr>
              <w:spacing w:line="276"/>
            </w:pPr>
            <w:r>
              <w:rPr>
                <w:rFonts w:ascii="Times New Roman" w:hAnsi="Times New Roman"/>
                <w:color w:val="2B2320"/>
                <w:sz w:val="18"/>
                <w:szCs w:val="18"/>
              </w:rPr>
              <w:t xml:space="preserve">3.0e−10</w:t>
            </w:r>
          </w:p>
        </w:tc>
        <w:tc>
          <w:tcPr>
            <w:tcW w:type="pct" w:w="1650"/>
            <w:tcMar>
              <w:top w:type="dxa" w:w="60"/>
              <w:left w:type="dxa" w:w="120"/>
              <w:bottom w:type="dxa" w:w="60"/>
              <w:right w:type="dxa" w:w="120"/>
            </w:tcMar>
          </w:tcPr>
          <w:p>
            <w:pPr>
              <w:spacing w:line="276"/>
            </w:pPr>
            <w:r>
              <w:rPr>
                <w:rFonts w:ascii="Times New Roman" w:hAnsi="Times New Roman"/>
                <w:color w:val="2B2320"/>
                <w:sz w:val="18"/>
                <w:szCs w:val="18"/>
              </w:rPr>
              <w:t xml:space="preserve">within 1e−9</w:t>
            </w:r>
          </w:p>
        </w:tc>
      </w:tr>
      <w:tr>
        <w:trPr>
          <w:cantSplit/>
        </w:trPr>
        <w:tc>
          <w:tcPr>
            <w:tcW w:type="pct" w:w="1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Cross-engine</w:t>
            </w:r>
          </w:p>
        </w:tc>
        <w:tc>
          <w:tcPr>
            <w:tcW w:type="pct" w:w="165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0.0 bit-exact</w:t>
            </w:r>
          </w:p>
        </w:tc>
        <w:tc>
          <w:tcPr>
            <w:tcW w:type="pct" w:w="165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0.0 bit-exact</w:t>
            </w:r>
          </w:p>
        </w:tc>
      </w:tr>
      <w:tr>
        <w:trPr>
          <w:cantSplit/>
        </w:trPr>
        <w:tc>
          <w:tcPr>
            <w:tcW w:type="pct" w:w="1700"/>
            <w:tcMar>
              <w:top w:type="dxa" w:w="60"/>
              <w:left w:type="dxa" w:w="120"/>
              <w:bottom w:type="dxa" w:w="60"/>
              <w:right w:type="dxa" w:w="120"/>
            </w:tcMar>
          </w:tcPr>
          <w:p>
            <w:pPr>
              <w:spacing w:line="276"/>
            </w:pPr>
            <w:r>
              <w:rPr>
                <w:rFonts w:ascii="Times New Roman" w:hAnsi="Times New Roman"/>
                <w:color w:val="2B2320"/>
                <w:sz w:val="18"/>
                <w:szCs w:val="18"/>
              </w:rPr>
              <w:t xml:space="preserve">N(1000) per R–M</w:t>
            </w:r>
          </w:p>
        </w:tc>
        <w:tc>
          <w:tcPr>
            <w:tcW w:type="pct" w:w="1650"/>
            <w:tcMar>
              <w:top w:type="dxa" w:w="60"/>
              <w:left w:type="dxa" w:w="120"/>
              <w:bottom w:type="dxa" w:w="60"/>
              <w:right w:type="dxa" w:w="120"/>
            </w:tcMar>
          </w:tcPr>
          <w:p>
            <w:pPr>
              <w:spacing w:line="276"/>
            </w:pPr>
            <w:r>
              <w:rPr>
                <w:rFonts w:ascii="Times New Roman" w:hAnsi="Times New Roman"/>
                <w:color w:val="2B2320"/>
                <w:sz w:val="18"/>
                <w:szCs w:val="18"/>
              </w:rPr>
              <w:t xml:space="preserve">649.0 exactly</w:t>
            </w:r>
          </w:p>
        </w:tc>
        <w:tc>
          <w:tcPr>
            <w:tcW w:type="pct" w:w="1650"/>
            <w:tcMar>
              <w:top w:type="dxa" w:w="60"/>
              <w:left w:type="dxa" w:w="120"/>
              <w:bottom w:type="dxa" w:w="60"/>
              <w:right w:type="dxa" w:w="120"/>
            </w:tcMar>
          </w:tcPr>
          <w:p>
            <w:pPr>
              <w:spacing w:line="276"/>
            </w:pPr>
            <w:r>
              <w:rPr>
                <w:rFonts w:ascii="Times New Roman" w:hAnsi="Times New Roman"/>
                <w:color w:val="2B2320"/>
                <w:sz w:val="18"/>
                <w:szCs w:val="18"/>
              </w:rPr>
              <w:t xml:space="preserve">649.0 exactly</w:t>
            </w:r>
          </w:p>
        </w:tc>
      </w:tr>
    </w:tbl>
    <w:p>
      <w:pPr>
        <w:spacing w:after="120"/>
      </w:pPr>
    </w:p>
    <w:p>
      <w:pPr>
        <w:pStyle w:val="Heading2"/>
        <w:spacing w:after="120" w:before="280" w:line="312"/>
      </w:pPr>
      <w:bookmarkStart w:name="_Toc48" w:id="48"/>
      <w:r>
        <w:rPr>
          <w:rFonts w:ascii="Times New Roman" w:hAnsi="Times New Roman"/>
          <w:b/>
          <w:bCs/>
          <w:color w:val="7A5C48"/>
          <w:sz w:val="26"/>
          <w:szCs w:val="26"/>
        </w:rPr>
        <w:t xml:space="preserve">12.3. What E17 proves and does not prove</w:t>
      </w:r>
      <w:bookmarkEnd w:id="48"/>
    </w:p>
    <w:p>
      <w:pPr>
        <w:spacing w:after="120" w:line="312"/>
        <w:jc w:val="both"/>
      </w:pPr>
      <w:r>
        <w:rPr>
          <w:rFonts w:ascii="Times New Roman" w:hAnsi="Times New Roman"/>
          <w:color w:val="2B2320"/>
          <w:sz w:val="22"/>
          <w:szCs w:val="22"/>
        </w:rPr>
        <w:t xml:space="preserve">The does_not_prove field of the E17 verdict is a model of an honest boundary: blind reading up to T = 1000 does not prove RH above T = 1000; it does not prove the simplicity of all zeros; it does not prove the absence of zeros off the line for γ &gt; 1000. What it does prove: the accuracy of two independent computational paths up to height 1000 and the consistency of the trace construction with the arithmetic of ζ. Combined with the V23 preview (reading from six constants) and Th6 (the trace carries Λ(n)/√n) this forms the complete chain "theory — implementation — independent check".</w:t>
      </w:r>
    </w:p>
    <w:p>
      <w:pPr>
        <w:spacing w:after="60" w:before="160"/>
        <w:jc w:val="center"/>
      </w:pPr>
      <w:r>
        <w:drawing>
          <wp:inline distT="0" distB="0" distL="0" distR="0">
            <wp:extent cx="0" cy="33051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0" cy="3305175"/>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12.1. Blind reading of ζ zeros: detector output versus reference (verification platform figures, 600 dpi).</w:t>
      </w:r>
    </w:p>
    <w:p>
      <w:pPr>
        <w:pStyle w:val="Heading1"/>
        <w:spacing w:after="160" w:before="360" w:line="312"/>
      </w:pPr>
      <w:bookmarkStart w:name="_Toc49" w:id="49"/>
      <w:r>
        <w:rPr>
          <w:rFonts w:ascii="Times New Roman" w:hAnsi="Times New Roman"/>
          <w:b/>
          <w:bCs/>
          <w:color w:val="2B2320"/>
          <w:sz w:val="32"/>
          <w:szCs w:val="32"/>
        </w:rPr>
        <w:t xml:space="preserve">Chapter 13. Class B: the Compiler versus Five Baselines (E18)</w:t>
      </w:r>
      <w:bookmarkEnd w:id="49"/>
    </w:p>
    <w:p>
      <w:pPr>
        <w:spacing w:after="160" w:line="312"/>
        <w:jc w:val="both"/>
      </w:pPr>
      <w:r>
        <w:rPr>
          <w:rFonts w:ascii="Times New Roman" w:hAnsi="Times New Roman"/>
          <w:color w:val="7A5C48"/>
          <w:sz w:val="23"/>
          <w:szCs w:val="23"/>
        </w:rPr>
        <w:t xml:space="preserve">E18 is a fair benchmark: the AB-processor compiler against five strong baselines under equal ISA constraints. The result: a ×59,000 advantage in time at equal accuracy, with an honest statement of the class and its boundaries.</w:t>
      </w:r>
    </w:p>
    <w:p>
      <w:pPr>
        <w:pStyle w:val="Heading2"/>
        <w:spacing w:after="120" w:before="280" w:line="312"/>
      </w:pPr>
      <w:bookmarkStart w:name="_Toc50" w:id="50"/>
      <w:r>
        <w:rPr>
          <w:rFonts w:ascii="Times New Roman" w:hAnsi="Times New Roman"/>
          <w:b/>
          <w:bCs/>
          <w:color w:val="7A5C48"/>
          <w:sz w:val="26"/>
          <w:szCs w:val="26"/>
        </w:rPr>
        <w:t xml:space="preserve">13.1. The design of a fair comparison</w:t>
      </w:r>
      <w:bookmarkEnd w:id="50"/>
    </w:p>
    <w:p>
      <w:pPr>
        <w:spacing w:after="120" w:line="312"/>
        <w:jc w:val="both"/>
      </w:pPr>
      <w:r>
        <w:rPr>
          <w:rFonts w:ascii="Times New Roman" w:hAnsi="Times New Roman"/>
          <w:color w:val="2B2320"/>
          <w:sz w:val="22"/>
          <w:szCs w:val="22"/>
        </w:rPr>
        <w:t xml:space="preserve">Decompiler benchmarks are notorious for loose comparisons: different ISAs, different target classes, different criteria. E18 excludes looseness by pre-registering the class: all participants — the V20 compiler and five baselines (BL1–BL5) — operate in the same ISA class, on the same target unitary matrices, with one criterion (1−F) and one depth budget. A win is counted only at equal or better accuracy on every target.</w:t>
      </w:r>
    </w:p>
    <w:p>
      <w:pPr>
        <w:spacing w:after="120" w:line="312"/>
        <w:jc w:val="both"/>
      </w:pPr>
      <w:r>
        <w:rPr>
          <w:rFonts w:ascii="Times New Roman" w:hAnsi="Times New Roman"/>
          <w:color w:val="2B2320"/>
          <w:sz w:val="22"/>
          <w:szCs w:val="22"/>
        </w:rPr>
        <w:t xml:space="preserve">The results: max 1−F = 4.4e−16 for the compiler; the compiler's primitives are no worse than BL1/BL2/BL4 on every target; the total time — a </w:t>
      </w:r>
      <w:r>
        <w:rPr>
          <w:rFonts w:ascii="Times New Roman" w:hAnsi="Times New Roman"/>
          <w:b/>
          <w:bCs/>
          <w:color w:val="2B2320"/>
          <w:sz w:val="22"/>
          <w:szCs w:val="22"/>
        </w:rPr>
        <w:t xml:space="preserve">×59,000</w:t>
      </w:r>
      <w:r>
        <w:rPr>
          <w:rFonts w:ascii="Times New Roman" w:hAnsi="Times New Roman"/>
          <w:color w:val="2B2320"/>
          <w:sz w:val="22"/>
          <w:szCs w:val="22"/>
        </w:rPr>
        <w:t xml:space="preserve"> speed-up against the best baseline in the class. numpy replication: 0 counter mismatches, |Δ(1−F)| = 2.2e−16.</w:t>
      </w:r>
    </w:p>
    <w:tbl>
      <w:tblPr>
        <w:tblW w:type="pct" w:w="2750"/>
        <w:jc w:val="center"/>
        <w:tblBorders>
          <w:top w:val="single" w:color="C96F4A" w:sz="6"/>
          <w:left w:val="single" w:color="C96F4A" w:sz="6"/>
          <w:bottom w:val="single" w:color="C96F4A" w:sz="6"/>
          <w:right w:val="single" w:color="C96F4A" w:sz="6"/>
          <w:insideH w:val="none" w:color="FFFFFF" w:sz="0"/>
          <w:insideV w:val="none" w:color="FFFFFF" w:sz="0"/>
        </w:tblBorders>
      </w:tblPr>
      <w:tblGrid>
        <w:gridCol w:w="4964"/>
      </w:tblGrid>
      <w:tr>
        <w:trPr>
          <w:cantSplit/>
        </w:trPr>
        <w:tc>
          <w:tcPr>
            <w:shd w:fill="F5EDE8" w:val="clear"/>
            <w:tcMar>
              <w:top w:type="dxa" w:w="120"/>
              <w:left w:type="dxa" w:w="200"/>
              <w:bottom w:type="dxa" w:w="120"/>
              <w:right w:type="dxa" w:w="200"/>
            </w:tcMar>
          </w:tcPr>
          <w:p>
            <w:pPr>
              <w:spacing w:after="40"/>
              <w:jc w:val="center"/>
            </w:pPr>
            <w:r>
              <w:rPr>
                <w:rFonts w:ascii="Times New Roman" w:hAnsi="Times New Roman"/>
                <w:b/>
                <w:bCs/>
                <w:color w:val="C96F4A"/>
                <w:sz w:val="36"/>
                <w:szCs w:val="36"/>
              </w:rPr>
              <w:t xml:space="preserve">×59,000</w:t>
            </w:r>
          </w:p>
          <w:p>
            <w:pPr>
              <w:jc w:val="center"/>
            </w:pPr>
            <w:r>
              <w:rPr>
                <w:rFonts w:ascii="Times New Roman" w:hAnsi="Times New Roman"/>
                <w:color w:val="8A8078"/>
                <w:sz w:val="17"/>
                <w:szCs w:val="17"/>
              </w:rPr>
              <w:t xml:space="preserve">compiler speed-up over 5 baselines at equal ISA (E18); max 1−F = 4.4e−16</w:t>
            </w:r>
          </w:p>
        </w:tc>
      </w:tr>
    </w:tbl>
    <w:p>
      <w:pPr>
        <w:spacing w:after="100"/>
      </w:pPr>
    </w:p>
    <w:p>
      <w:pPr>
        <w:pStyle w:val="Heading2"/>
        <w:spacing w:after="120" w:before="280" w:line="312"/>
      </w:pPr>
      <w:bookmarkStart w:name="_Toc51" w:id="51"/>
      <w:r>
        <w:rPr>
          <w:rFonts w:ascii="Times New Roman" w:hAnsi="Times New Roman"/>
          <w:b/>
          <w:bCs/>
          <w:color w:val="7A5C48"/>
          <w:sz w:val="26"/>
          <w:szCs w:val="26"/>
        </w:rPr>
        <w:t xml:space="preserve">13.2. The honest boundary: the KAK optimum</w:t>
      </w:r>
      <w:bookmarkEnd w:id="51"/>
    </w:p>
    <w:p>
      <w:pPr>
        <w:spacing w:after="120" w:line="312"/>
        <w:jc w:val="both"/>
      </w:pPr>
      <w:r>
        <w:rPr>
          <w:rFonts w:ascii="Times New Roman" w:hAnsi="Times New Roman"/>
          <w:color w:val="2B2320"/>
          <w:sz w:val="22"/>
          <w:szCs w:val="22"/>
        </w:rPr>
        <w:t xml:space="preserve">The most important part of the verdict is the negative claim: the 2q Kakaš–Kitaev optimum (3 gates) is unreachable in the ISA class; the compiler produces 10 gates on 2q targets. This is not a weakness of the compiler but a property of the class: clouds with flux cannot express the KAK-optimal sequence. The verdict fixes the boundary explicitly — "no superiority is claimed outside the class". For the practitioner this means: if the task requires the KAK optimum, the ISA must be extended; if speed within the class is required — the V20 compiler dominates.</w:t>
      </w:r>
    </w:p>
    <w:p>
      <w:pPr>
        <w:pStyle w:val="Heading2"/>
        <w:spacing w:after="120" w:before="280" w:line="312"/>
      </w:pPr>
      <w:bookmarkStart w:name="_Toc52" w:id="52"/>
      <w:r>
        <w:rPr>
          <w:rFonts w:ascii="Times New Roman" w:hAnsi="Times New Roman"/>
          <w:b/>
          <w:bCs/>
          <w:color w:val="7A5C48"/>
          <w:sz w:val="26"/>
          <w:szCs w:val="26"/>
        </w:rPr>
        <w:t xml:space="preserve">13.3. Methodological significance</w:t>
      </w:r>
      <w:bookmarkEnd w:id="52"/>
    </w:p>
    <w:p>
      <w:pPr>
        <w:spacing w:after="120" w:line="312"/>
        <w:jc w:val="both"/>
      </w:pPr>
      <w:r>
        <w:rPr>
          <w:rFonts w:ascii="Times New Roman" w:hAnsi="Times New Roman"/>
          <w:color w:val="2B2320"/>
          <w:sz w:val="22"/>
          <w:szCs w:val="22"/>
        </w:rPr>
        <w:t xml:space="preserve">E18 demonstrates what a benchmark of a computing architecture should look like: the class is pre-registered, the baselines are strong and published, the criterion is single, negative results are included. A comparison with SPEC or MLPerf methodology is apt here: fairness is achieved not by a metric but by a protocol. E18 is embedded in the processor roadmap (P5 inherits its methodology) and in the numpy replication — two independent stacks give consistent counters.</w:t>
      </w:r>
    </w:p>
    <w:p>
      <w:pPr>
        <w:pStyle w:val="Heading1"/>
        <w:spacing w:after="160" w:before="360" w:line="312"/>
      </w:pPr>
      <w:bookmarkStart w:name="_Toc53" w:id="53"/>
      <w:r>
        <w:rPr>
          <w:rFonts w:ascii="Times New Roman" w:hAnsi="Times New Roman"/>
          <w:b/>
          <w:bCs/>
          <w:color w:val="2B2320"/>
          <w:sz w:val="32"/>
          <w:szCs w:val="32"/>
        </w:rPr>
        <w:t xml:space="preserve">Chapter 14. The Spinor Study: The Machine with No Long-Term Memory</w:t>
      </w:r>
      <w:bookmarkEnd w:id="53"/>
    </w:p>
    <w:p>
      <w:pPr>
        <w:spacing w:after="160" w:line="312"/>
        <w:jc w:val="both"/>
      </w:pPr>
      <w:r>
        <w:rPr>
          <w:rFonts w:ascii="Times New Roman" w:hAnsi="Times New Roman"/>
          <w:color w:val="7A5C48"/>
          <w:sz w:val="23"/>
          <w:szCs w:val="23"/>
        </w:rPr>
        <w:t xml:space="preserve">The supplementary study drives the central claim of the program — "reads, does not carry" — to explicit models: spinor phases θ = π/2, π/3, π/7 with a single volatile register. Three theorems TS1–TS3 and five campaigns ES1–ES5 make the claim measurable.</w:t>
      </w:r>
    </w:p>
    <w:p>
      <w:pPr>
        <w:pStyle w:val="Heading2"/>
        <w:spacing w:after="120" w:before="280" w:line="312"/>
      </w:pPr>
      <w:bookmarkStart w:name="_Toc54" w:id="54"/>
      <w:r>
        <w:rPr>
          <w:rFonts w:ascii="Times New Roman" w:hAnsi="Times New Roman"/>
          <w:b/>
          <w:bCs/>
          <w:color w:val="7A5C48"/>
          <w:sz w:val="26"/>
          <w:szCs w:val="26"/>
        </w:rPr>
        <w:t xml:space="preserve">14.1. The idea: state as phase</w:t>
      </w:r>
      <w:bookmarkEnd w:id="54"/>
    </w:p>
    <w:p>
      <w:pPr>
        <w:spacing w:after="120" w:line="312"/>
        <w:jc w:val="both"/>
      </w:pPr>
      <w:r>
        <w:rPr>
          <w:rFonts w:ascii="Times New Roman" w:hAnsi="Times New Roman"/>
          <w:color w:val="2B2320"/>
          <w:sz w:val="22"/>
          <w:szCs w:val="22"/>
        </w:rPr>
        <w:t xml:space="preserve">The model is minimal: the only state of the machine is the phase φ of a unit spinor on a circle; one step of real time is a rotation by the model angle θ. There is no log, no history, no checkpoints. The phase is at once a register, a counter (modulo N) and the carrier of the result. The contrast model — the "eternal-log machine", which honestly records every step and periodically re-checks everything — is used as the anti-example for measuring the cost of memory.</w:t>
      </w:r>
    </w:p>
    <w:p>
      <w:pPr>
        <w:keepNext/>
        <w:spacing w:after="80" w:before="160"/>
        <w:jc w:val="center"/>
      </w:pPr>
      <w:r>
        <w:rPr>
          <w:rFonts w:ascii="Times New Roman" w:hAnsi="Times New Roman"/>
          <w:b/>
          <w:bCs/>
          <w:color w:val="7A5C48"/>
          <w:sz w:val="19"/>
          <w:szCs w:val="19"/>
        </w:rPr>
        <w:t xml:space="preserve">Table 14.1. Three models with no long-term memory</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2527"/>
        <w:gridCol w:w="1444"/>
        <w:gridCol w:w="1625"/>
        <w:gridCol w:w="1625"/>
        <w:gridCol w:w="1805"/>
      </w:tblGrid>
      <w:tr>
        <w:trPr>
          <w:cantSplit/>
          <w:tblHeader/>
        </w:trPr>
        <w:tc>
          <w:tcPr>
            <w:tcW w:type="pct" w:w="14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Model</w:t>
            </w:r>
          </w:p>
        </w:tc>
        <w:tc>
          <w:tcPr>
            <w:tcW w:type="pct" w:w="8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Phase θ</w:t>
            </w:r>
          </w:p>
        </w:tc>
        <w:tc>
          <w:tcPr>
            <w:tcW w:type="pct" w:w="9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Cycle N = 2k</w:t>
            </w:r>
          </w:p>
        </w:tc>
        <w:tc>
          <w:tcPr>
            <w:tcW w:type="pct" w:w="9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Bits/step</w:t>
            </w:r>
          </w:p>
        </w:tc>
        <w:tc>
          <w:tcPr>
            <w:tcW w:type="pct" w:w="10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Silence zone σ*</w:t>
            </w:r>
          </w:p>
        </w:tc>
      </w:tr>
      <w:tr>
        <w:trPr>
          <w:cantSplit/>
        </w:trPr>
        <w:tc>
          <w:tcPr>
            <w:tcW w:type="pct" w:w="1400"/>
            <w:tcMar>
              <w:top w:type="dxa" w:w="60"/>
              <w:left w:type="dxa" w:w="120"/>
              <w:bottom w:type="dxa" w:w="60"/>
              <w:right w:type="dxa" w:w="120"/>
            </w:tcMar>
          </w:tcPr>
          <w:p>
            <w:pPr>
              <w:spacing w:line="276"/>
            </w:pPr>
            <w:r>
              <w:rPr>
                <w:rFonts w:ascii="Times New Roman" w:hAnsi="Times New Roman"/>
                <w:color w:val="2B2320"/>
                <w:sz w:val="18"/>
                <w:szCs w:val="18"/>
              </w:rPr>
              <w:t xml:space="preserve">S1 · quadrant</w:t>
            </w:r>
          </w:p>
        </w:tc>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π/2</w:t>
            </w:r>
          </w:p>
        </w:tc>
        <w:tc>
          <w:tcPr>
            <w:tcW w:type="pct" w:w="900"/>
            <w:tcMar>
              <w:top w:type="dxa" w:w="60"/>
              <w:left w:type="dxa" w:w="120"/>
              <w:bottom w:type="dxa" w:w="60"/>
              <w:right w:type="dxa" w:w="120"/>
            </w:tcMar>
          </w:tcPr>
          <w:p>
            <w:pPr>
              <w:spacing w:line="276"/>
            </w:pPr>
            <w:r>
              <w:rPr>
                <w:rFonts w:ascii="Times New Roman" w:hAnsi="Times New Roman"/>
                <w:color w:val="2B2320"/>
                <w:sz w:val="18"/>
                <w:szCs w:val="18"/>
              </w:rPr>
              <w:t xml:space="preserve">4</w:t>
            </w:r>
          </w:p>
        </w:tc>
        <w:tc>
          <w:tcPr>
            <w:tcW w:type="pct" w:w="900"/>
            <w:tcMar>
              <w:top w:type="dxa" w:w="60"/>
              <w:left w:type="dxa" w:w="120"/>
              <w:bottom w:type="dxa" w:w="60"/>
              <w:right w:type="dxa" w:w="120"/>
            </w:tcMar>
          </w:tcPr>
          <w:p>
            <w:pPr>
              <w:spacing w:line="276"/>
            </w:pPr>
            <w:r>
              <w:rPr>
                <w:rFonts w:ascii="Times New Roman" w:hAnsi="Times New Roman"/>
                <w:color w:val="2B2320"/>
                <w:sz w:val="18"/>
                <w:szCs w:val="18"/>
              </w:rPr>
              <w:t xml:space="preserve">2.000</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0.135 rad</w:t>
            </w:r>
          </w:p>
        </w:tc>
      </w:tr>
      <w:tr>
        <w:trPr>
          <w:cantSplit/>
        </w:trPr>
        <w:tc>
          <w:tcPr>
            <w:tcW w:type="pct" w:w="1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S2 · sextant</w:t>
            </w:r>
          </w:p>
        </w:tc>
        <w:tc>
          <w:tcPr>
            <w:tcW w:type="pct" w:w="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π/3</w:t>
            </w:r>
          </w:p>
        </w:tc>
        <w:tc>
          <w:tcPr>
            <w:tcW w:type="pct" w:w="9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6</w:t>
            </w:r>
          </w:p>
        </w:tc>
        <w:tc>
          <w:tcPr>
            <w:tcW w:type="pct" w:w="9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2.585</w:t>
            </w:r>
          </w:p>
        </w:tc>
        <w:tc>
          <w:tcPr>
            <w:tcW w:type="pct" w:w="1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0.089 rad</w:t>
            </w:r>
          </w:p>
        </w:tc>
      </w:tr>
      <w:tr>
        <w:trPr>
          <w:cantSplit/>
        </w:trPr>
        <w:tc>
          <w:tcPr>
            <w:tcW w:type="pct" w:w="1400"/>
            <w:tcMar>
              <w:top w:type="dxa" w:w="60"/>
              <w:left w:type="dxa" w:w="120"/>
              <w:bottom w:type="dxa" w:w="60"/>
              <w:right w:type="dxa" w:w="120"/>
            </w:tcMar>
          </w:tcPr>
          <w:p>
            <w:pPr>
              <w:spacing w:line="276"/>
            </w:pPr>
            <w:r>
              <w:rPr>
                <w:rFonts w:ascii="Times New Roman" w:hAnsi="Times New Roman"/>
                <w:color w:val="2B2320"/>
                <w:sz w:val="18"/>
                <w:szCs w:val="18"/>
              </w:rPr>
              <w:t xml:space="preserve">S3 · 14-phase</w:t>
            </w:r>
          </w:p>
        </w:tc>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π/7</w:t>
            </w:r>
          </w:p>
        </w:tc>
        <w:tc>
          <w:tcPr>
            <w:tcW w:type="pct" w:w="900"/>
            <w:tcMar>
              <w:top w:type="dxa" w:w="60"/>
              <w:left w:type="dxa" w:w="120"/>
              <w:bottom w:type="dxa" w:w="60"/>
              <w:right w:type="dxa" w:w="120"/>
            </w:tcMar>
          </w:tcPr>
          <w:p>
            <w:pPr>
              <w:spacing w:line="276"/>
            </w:pPr>
            <w:r>
              <w:rPr>
                <w:rFonts w:ascii="Times New Roman" w:hAnsi="Times New Roman"/>
                <w:color w:val="2B2320"/>
                <w:sz w:val="18"/>
                <w:szCs w:val="18"/>
              </w:rPr>
              <w:t xml:space="preserve">14</w:t>
            </w:r>
          </w:p>
        </w:tc>
        <w:tc>
          <w:tcPr>
            <w:tcW w:type="pct" w:w="900"/>
            <w:tcMar>
              <w:top w:type="dxa" w:w="60"/>
              <w:left w:type="dxa" w:w="120"/>
              <w:bottom w:type="dxa" w:w="60"/>
              <w:right w:type="dxa" w:w="120"/>
            </w:tcMar>
          </w:tcPr>
          <w:p>
            <w:pPr>
              <w:spacing w:line="276"/>
            </w:pPr>
            <w:r>
              <w:rPr>
                <w:rFonts w:ascii="Times New Roman" w:hAnsi="Times New Roman"/>
                <w:color w:val="2B2320"/>
                <w:sz w:val="18"/>
                <w:szCs w:val="18"/>
              </w:rPr>
              <w:t xml:space="preserve">3.807</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0.038 rad</w:t>
            </w:r>
          </w:p>
        </w:tc>
      </w:tr>
    </w:tbl>
    <w:p>
      <w:pPr>
        <w:spacing w:after="120"/>
      </w:pPr>
    </w:p>
    <w:p>
      <w:pPr>
        <w:pStyle w:val="Heading2"/>
        <w:spacing w:after="120" w:before="280" w:line="312"/>
      </w:pPr>
      <w:bookmarkStart w:name="_Toc55" w:id="55"/>
      <w:r>
        <w:rPr>
          <w:rFonts w:ascii="Times New Roman" w:hAnsi="Times New Roman"/>
          <w:b/>
          <w:bCs/>
          <w:color w:val="7A5C48"/>
          <w:sz w:val="26"/>
          <w:szCs w:val="26"/>
        </w:rPr>
        <w:t xml:space="preserve">14.2. Theorem TS1: closure of phase cycles</w:t>
      </w:r>
      <w:bookmarkEnd w:id="55"/>
    </w:p>
    <w:p>
      <w:pPr>
        <w:spacing w:after="120" w:line="312"/>
        <w:jc w:val="both"/>
      </w:pPr>
      <w:r>
        <w:rPr>
          <w:rFonts w:ascii="Times New Roman" w:hAnsi="Times New Roman"/>
          <w:color w:val="2B2320"/>
          <w:sz w:val="22"/>
          <w:szCs w:val="22"/>
        </w:rPr>
        <w:t xml:space="preserve">TS1 states: a rotation by θ = π/k closes exactly after N = 2k steps, and the gap between neighbouring distinguishable states equals the step 2π/N. Numerically: the periods 4, 6, 14 — exact for the three models. The meaning: the volatile phase is not chaos but an exact counter; the cycle is deterministic, the gap is maximal for the given capacity. The trade-off "capacity log₂N versus robustness 1/k" is fixed as an honest boundary: more capacity — thinner silence zone.</w:t>
      </w:r>
    </w:p>
    <w:p>
      <w:pPr>
        <w:pStyle w:val="Heading2"/>
        <w:spacing w:after="120" w:before="280" w:line="312"/>
      </w:pPr>
      <w:bookmarkStart w:name="_Toc56" w:id="56"/>
      <w:r>
        <w:rPr>
          <w:rFonts w:ascii="Times New Roman" w:hAnsi="Times New Roman"/>
          <w:b/>
          <w:bCs/>
          <w:color w:val="7A5C48"/>
          <w:sz w:val="26"/>
          <w:szCs w:val="26"/>
        </w:rPr>
        <w:t xml:space="preserve">14.3. Theorem TS2: irreversibility of reset</w:t>
      </w:r>
      <w:bookmarkEnd w:id="56"/>
    </w:p>
    <w:p>
      <w:pPr>
        <w:spacing w:after="120" w:line="312"/>
        <w:jc w:val="both"/>
      </w:pPr>
      <w:r>
        <w:rPr>
          <w:rFonts w:ascii="Times New Roman" w:hAnsi="Times New Roman"/>
          <w:color w:val="2B2320"/>
          <w:sz w:val="22"/>
          <w:szCs w:val="22"/>
        </w:rPr>
        <w:t xml:space="preserve">TS2 is the erasure theorem: a reset of the phase erases everything; the mutual information between pre- and post-states is zero; reconstruction of the previous state does not exceed the chance level 1/N; time after the reset is defined only modulo N. Numerically: reconstruction 0.2501 (N=4), 0.1674 (N=6), 0.0717 (N=14) — all ≈ 1/N. Volatility here is a property, not a defect: the machine cannot "remember" the past because the past no longer exists in it; this is what makes it deterministic in real time.</w:t>
      </w:r>
    </w:p>
    <w:p>
      <w:pPr>
        <w:pStyle w:val="Heading2"/>
        <w:spacing w:after="120" w:before="280" w:line="312"/>
      </w:pPr>
      <w:bookmarkStart w:name="_Toc57" w:id="57"/>
      <w:r>
        <w:rPr>
          <w:rFonts w:ascii="Times New Roman" w:hAnsi="Times New Roman"/>
          <w:b/>
          <w:bCs/>
          <w:color w:val="7A5C48"/>
          <w:sz w:val="26"/>
          <w:szCs w:val="26"/>
        </w:rPr>
        <w:t xml:space="preserve">14.4. Theorem TS3: O(1) steps versus the Ω(t) log</w:t>
      </w:r>
      <w:bookmarkEnd w:id="57"/>
    </w:p>
    <w:p>
      <w:pPr>
        <w:spacing w:after="120" w:line="312"/>
        <w:jc w:val="both"/>
      </w:pPr>
      <w:r>
        <w:rPr>
          <w:rFonts w:ascii="Times New Roman" w:hAnsi="Times New Roman"/>
          <w:color w:val="2B2320"/>
          <w:sz w:val="22"/>
          <w:szCs w:val="22"/>
        </w:rPr>
        <w:t xml:space="preserve">TS3 is the real-time theorem: the step cost of the memoryless machine does not depend on the age of the process (the regression slope −1.5e−12 ms/step — zero within noise), whereas the eternal-log machine accumulates Ω(t): a ×129 growth on the experiment horizon, deadlines missed. The conclusion is stated rigidly: </w:t>
      </w:r>
      <w:r>
        <w:rPr>
          <w:rFonts w:ascii="Times New Roman" w:hAnsi="Times New Roman"/>
          <w:b/>
          <w:bCs/>
          <w:color w:val="2B2320"/>
          <w:sz w:val="22"/>
          <w:szCs w:val="22"/>
        </w:rPr>
        <w:t xml:space="preserve">volatility is the condition of real-time determinism</w:t>
      </w:r>
      <w:r>
        <w:rPr>
          <w:rFonts w:ascii="Times New Roman" w:hAnsi="Times New Roman"/>
          <w:color w:val="2B2320"/>
          <w:sz w:val="22"/>
          <w:szCs w:val="22"/>
        </w:rPr>
        <w:t xml:space="preserve">. This is counter-intuitive for classical systems engineering, where a log is a sign of reliability; in the "reads, does not carry" architecture the log is a cause of failure.</w:t>
      </w:r>
    </w:p>
    <w:tbl>
      <w:tblPr>
        <w:tblW w:type="pct" w:w="2750"/>
        <w:jc w:val="center"/>
        <w:tblBorders>
          <w:top w:val="single" w:color="C96F4A" w:sz="6"/>
          <w:left w:val="single" w:color="C96F4A" w:sz="6"/>
          <w:bottom w:val="single" w:color="C96F4A" w:sz="6"/>
          <w:right w:val="single" w:color="C96F4A" w:sz="6"/>
          <w:insideH w:val="none" w:color="FFFFFF" w:sz="0"/>
          <w:insideV w:val="none" w:color="FFFFFF" w:sz="0"/>
        </w:tblBorders>
      </w:tblPr>
      <w:tblGrid>
        <w:gridCol w:w="4964"/>
      </w:tblGrid>
      <w:tr>
        <w:trPr>
          <w:cantSplit/>
        </w:trPr>
        <w:tc>
          <w:tcPr>
            <w:shd w:fill="F5EDE8" w:val="clear"/>
            <w:tcMar>
              <w:top w:type="dxa" w:w="120"/>
              <w:left w:type="dxa" w:w="200"/>
              <w:bottom w:type="dxa" w:w="120"/>
              <w:right w:type="dxa" w:w="200"/>
            </w:tcMar>
          </w:tcPr>
          <w:p>
            <w:pPr>
              <w:spacing w:after="40"/>
              <w:jc w:val="center"/>
            </w:pPr>
            <w:r>
              <w:rPr>
                <w:rFonts w:ascii="Times New Roman" w:hAnsi="Times New Roman"/>
                <w:b/>
                <w:bCs/>
                <w:color w:val="C96F4A"/>
                <w:sz w:val="36"/>
                <w:szCs w:val="36"/>
              </w:rPr>
              <w:t xml:space="preserve">slope −1.5e−12</w:t>
            </w:r>
          </w:p>
          <w:p>
            <w:pPr>
              <w:jc w:val="center"/>
            </w:pPr>
            <w:r>
              <w:rPr>
                <w:rFonts w:ascii="Times New Roman" w:hAnsi="Times New Roman"/>
                <w:color w:val="8A8078"/>
                <w:sz w:val="17"/>
                <w:szCs w:val="17"/>
              </w:rPr>
              <w:t xml:space="preserve">step cost O(1) (TS3); the log — Ω(t), ×129 growth</w:t>
            </w:r>
          </w:p>
        </w:tc>
      </w:tr>
    </w:tbl>
    <w:p>
      <w:pPr>
        <w:spacing w:after="100"/>
      </w:pPr>
    </w:p>
    <w:p>
      <w:pPr>
        <w:spacing w:after="60" w:before="160"/>
        <w:jc w:val="center"/>
      </w:pPr>
      <w:r>
        <w:drawing>
          <wp:inline distT="0" distB="0" distL="0" distR="0">
            <wp:extent cx="0" cy="3810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0" cy="3810000"/>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14.1. Three memoryless models — the four-dimension tile (600 dpi, ES5 verdict).</w:t>
      </w:r>
    </w:p>
    <w:p>
      <w:pPr>
        <w:pStyle w:val="Heading1"/>
        <w:spacing w:after="160" w:before="360" w:line="312"/>
      </w:pPr>
      <w:bookmarkStart w:name="_Toc58" w:id="58"/>
      <w:r>
        <w:rPr>
          <w:rFonts w:ascii="Times New Roman" w:hAnsi="Times New Roman"/>
          <w:b/>
          <w:bCs/>
          <w:color w:val="2B2320"/>
          <w:sz w:val="32"/>
          <w:szCs w:val="32"/>
        </w:rPr>
        <w:t xml:space="preserve">Chapter 15. Campaigns ES1–ES5: Measuring Volatility</w:t>
      </w:r>
      <w:bookmarkEnd w:id="58"/>
    </w:p>
    <w:p>
      <w:pPr>
        <w:spacing w:after="160" w:line="312"/>
        <w:jc w:val="both"/>
      </w:pPr>
      <w:r>
        <w:rPr>
          <w:rFonts w:ascii="Times New Roman" w:hAnsi="Times New Roman"/>
          <w:color w:val="7A5C48"/>
          <w:sz w:val="23"/>
          <w:szCs w:val="23"/>
        </w:rPr>
        <w:t xml:space="preserve">Five campaigns with pre-registered thresholds measure the models from four sides: cycles, volatility, real time, the memoryless task, noise diffusion. All five verdicts are PASS; two threshold errata (ES2a, ES5a) were published before the verdicts were accepted.</w:t>
      </w:r>
    </w:p>
    <w:p>
      <w:pPr>
        <w:keepNext/>
        <w:spacing w:after="80" w:before="160"/>
        <w:jc w:val="center"/>
      </w:pPr>
      <w:r>
        <w:rPr>
          <w:rFonts w:ascii="Times New Roman" w:hAnsi="Times New Roman"/>
          <w:b/>
          <w:bCs/>
          <w:color w:val="7A5C48"/>
          <w:sz w:val="19"/>
          <w:szCs w:val="19"/>
        </w:rPr>
        <w:t xml:space="preserve">Table 15.1. Campaigns ES1–ES5</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1083"/>
        <w:gridCol w:w="2347"/>
        <w:gridCol w:w="4332"/>
        <w:gridCol w:w="1264"/>
      </w:tblGrid>
      <w:tr>
        <w:trPr>
          <w:cantSplit/>
          <w:tblHeader/>
        </w:trPr>
        <w:tc>
          <w:tcPr>
            <w:tcW w:type="pct" w:w="6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Campaign</w:t>
            </w:r>
          </w:p>
        </w:tc>
        <w:tc>
          <w:tcPr>
            <w:tcW w:type="pct" w:w="13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Subject</w:t>
            </w:r>
          </w:p>
        </w:tc>
        <w:tc>
          <w:tcPr>
            <w:tcW w:type="pct" w:w="24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Key result</w:t>
            </w:r>
          </w:p>
        </w:tc>
        <w:tc>
          <w:tcPr>
            <w:tcW w:type="pct" w:w="7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Verdict</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ES1</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phase cycles</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N = 4·6·14 = 2k exactly; gap = step</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PASS</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ES2</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volatility/reset</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reconstruction 0.2501/0.1674/0.0717 ≈ 1/N; I = 0</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ES3</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real time</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O(1) step, slope −1.5e−12; log ×129</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PASS</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ES4</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memoryless task</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solvable in the cycle; no memory required</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ES5</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noise diffusion</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phase diffusion bounded by the silence zone</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PASS</w:t>
            </w:r>
          </w:p>
        </w:tc>
      </w:tr>
    </w:tbl>
    <w:p>
      <w:pPr>
        <w:spacing w:after="120"/>
      </w:pPr>
    </w:p>
    <w:p>
      <w:pPr>
        <w:pStyle w:val="Heading2"/>
        <w:spacing w:after="120" w:before="280" w:line="312"/>
      </w:pPr>
      <w:bookmarkStart w:name="_Toc59" w:id="59"/>
      <w:r>
        <w:rPr>
          <w:rFonts w:ascii="Times New Roman" w:hAnsi="Times New Roman"/>
          <w:b/>
          <w:bCs/>
          <w:color w:val="7A5C48"/>
          <w:sz w:val="26"/>
          <w:szCs w:val="26"/>
        </w:rPr>
        <w:t xml:space="preserve">15.1. From cycles to a task (ES1 → ES4)</w:t>
      </w:r>
      <w:bookmarkEnd w:id="59"/>
    </w:p>
    <w:p>
      <w:pPr>
        <w:spacing w:after="120" w:line="312"/>
        <w:jc w:val="both"/>
      </w:pPr>
      <w:r>
        <w:rPr>
          <w:rFonts w:ascii="Times New Roman" w:hAnsi="Times New Roman"/>
          <w:color w:val="2B2320"/>
          <w:sz w:val="22"/>
          <w:szCs w:val="22"/>
        </w:rPr>
        <w:t xml:space="preserve">ES1 records the pure mechanics: cycle closure and the gap. ES2 adds reset and erasure. ES3 — time: the step cost is measured in two modes (with a log and without), exposing the Ω(t) growth of the logged machine. ES4 moves the model into task mode: a sequence of decisions is made within the cycle without storage; the decision quality is comparable to a memory-bearing machine on the given task, because the task admits a Markov policy. This refines the applicability domain: not every task is solvable without memory, but the class of tasks admitting a Markov policy is solvable — and deterministically so.</w:t>
      </w:r>
    </w:p>
    <w:p>
      <w:pPr>
        <w:pStyle w:val="Heading2"/>
        <w:spacing w:after="120" w:before="280" w:line="312"/>
      </w:pPr>
      <w:bookmarkStart w:name="_Toc60" w:id="60"/>
      <w:r>
        <w:rPr>
          <w:rFonts w:ascii="Times New Roman" w:hAnsi="Times New Roman"/>
          <w:b/>
          <w:bCs/>
          <w:color w:val="7A5C48"/>
          <w:sz w:val="26"/>
          <w:szCs w:val="26"/>
        </w:rPr>
        <w:t xml:space="preserve">15.2. Noise and the silence zone (ES5)</w:t>
      </w:r>
      <w:bookmarkEnd w:id="60"/>
    </w:p>
    <w:p>
      <w:pPr>
        <w:spacing w:after="120" w:line="312"/>
        <w:jc w:val="both"/>
      </w:pPr>
      <w:r>
        <w:rPr>
          <w:rFonts w:ascii="Times New Roman" w:hAnsi="Times New Roman"/>
          <w:color w:val="2B2320"/>
          <w:sz w:val="22"/>
          <w:szCs w:val="22"/>
        </w:rPr>
        <w:t xml:space="preserve">ES5 measures robustness to phase noise: phase diffusion accumulates but while it stays inside the silence zone σ*, the count is not lost. The models give a predictable trade-off: S1 (σ* = 0.135 rad) is more robust, S3 (σ* = 0.038 rad) has more capacity. The ES5 threshold was originally mis-stated and replaced (erratum ES5a) before the verdict was accepted — publishing the replacement inside the verdict completes the protocol.</w:t>
      </w:r>
    </w:p>
    <w:p>
      <w:pPr>
        <w:pStyle w:val="Heading2"/>
        <w:spacing w:after="120" w:before="280" w:line="312"/>
      </w:pPr>
      <w:bookmarkStart w:name="_Toc61" w:id="61"/>
      <w:r>
        <w:rPr>
          <w:rFonts w:ascii="Times New Roman" w:hAnsi="Times New Roman"/>
          <w:b/>
          <w:bCs/>
          <w:color w:val="7A5C48"/>
          <w:sz w:val="26"/>
          <w:szCs w:val="26"/>
        </w:rPr>
        <w:t xml:space="preserve">15.3. Relation to the parent program</w:t>
      </w:r>
      <w:bookmarkEnd w:id="61"/>
    </w:p>
    <w:p>
      <w:pPr>
        <w:spacing w:after="120" w:line="312"/>
        <w:jc w:val="both"/>
      </w:pPr>
      <w:r>
        <w:rPr>
          <w:rFonts w:ascii="Times New Roman" w:hAnsi="Times New Roman"/>
          <w:color w:val="2B2320"/>
          <w:sz w:val="22"/>
          <w:szCs w:val="22"/>
        </w:rPr>
        <w:t xml:space="preserve">The spinor study formalizes "reads, does not carry" for processor stage P1 (memory V21): an architecture without long-term memory is not a limitation but a design decision with proved real-time advantages. Next — phases θ = π/k for k &gt; 7, task compilation into phase cycles and a diffusion channel with correlations; the obligations are fixed in the spinor-level roadmap.</w:t>
      </w:r>
    </w:p>
    <w:p>
      <w:pPr>
        <w:pStyle w:val="Heading1"/>
        <w:spacing w:after="160" w:before="360" w:line="312"/>
      </w:pPr>
      <w:bookmarkStart w:name="_Toc62" w:id="62"/>
      <w:r>
        <w:rPr>
          <w:rFonts w:ascii="Times New Roman" w:hAnsi="Times New Roman"/>
          <w:b/>
          <w:bCs/>
          <w:color w:val="2B2320"/>
          <w:sz w:val="32"/>
          <w:szCs w:val="32"/>
        </w:rPr>
        <w:t xml:space="preserve">Chapter 16. Data: Datasets, Timeline, Atlas</w:t>
      </w:r>
      <w:bookmarkEnd w:id="62"/>
    </w:p>
    <w:p>
      <w:pPr>
        <w:spacing w:after="160" w:line="312"/>
        <w:jc w:val="both"/>
      </w:pPr>
      <w:r>
        <w:rPr>
          <w:rFonts w:ascii="Times New Roman" w:hAnsi="Times New Roman"/>
          <w:color w:val="7A5C48"/>
          <w:sz w:val="23"/>
          <w:szCs w:val="23"/>
        </w:rPr>
        <w:t xml:space="preserve">The data layer of the program follows the same "verdict to artifact" principle: dataset files are rebuilt by scripts from committed verdicts; no number is ever typed by hand.</w:t>
      </w:r>
    </w:p>
    <w:p>
      <w:pPr>
        <w:pStyle w:val="Heading2"/>
        <w:spacing w:after="120" w:before="280" w:line="312"/>
      </w:pPr>
      <w:bookmarkStart w:name="_Toc63" w:id="63"/>
      <w:r>
        <w:rPr>
          <w:rFonts w:ascii="Times New Roman" w:hAnsi="Times New Roman"/>
          <w:b/>
          <w:bCs/>
          <w:color w:val="7A5C48"/>
          <w:sz w:val="26"/>
          <w:szCs w:val="26"/>
        </w:rPr>
        <w:t xml:space="preserve">16.1. Curated datasets</w:t>
      </w:r>
      <w:bookmarkEnd w:id="63"/>
    </w:p>
    <w:p>
      <w:pPr>
        <w:spacing w:after="120" w:line="312"/>
        <w:jc w:val="both"/>
      </w:pPr>
      <w:r>
        <w:rPr>
          <w:rFonts w:ascii="Times New Roman" w:hAnsi="Times New Roman"/>
          <w:color w:val="2B2320"/>
          <w:sz w:val="22"/>
          <w:szCs w:val="22"/>
        </w:rPr>
        <w:t xml:space="preserve">datasets/ holds three files. flagship_numbers.csv — the fifteen flagship metrics of the program with their verdict source and module. campaign_timeline.csv — all 43 campaigns of the four levels with id, module, title, status and key result. zeta_zeros_reference.csv — the reference ordinates of ζ zeros, 0 &lt; γ ≤ 1000, 660 rows: the very blind reference of E17. Every file is reproduced by python3 scripts/make_datasets.py; the provenance of every row traces back to a verdict file.</w:t>
      </w:r>
    </w:p>
    <w:p>
      <w:pPr>
        <w:pStyle w:val="Heading2"/>
        <w:spacing w:after="120" w:before="280" w:line="312"/>
      </w:pPr>
      <w:bookmarkStart w:name="_Toc64" w:id="64"/>
      <w:r>
        <w:rPr>
          <w:rFonts w:ascii="Times New Roman" w:hAnsi="Times New Roman"/>
          <w:b/>
          <w:bCs/>
          <w:color w:val="7A5C48"/>
          <w:sz w:val="26"/>
          <w:szCs w:val="26"/>
        </w:rPr>
        <w:t xml:space="preserve">16.2. Timeline and atlas</w:t>
      </w:r>
      <w:bookmarkEnd w:id="64"/>
    </w:p>
    <w:p>
      <w:pPr>
        <w:spacing w:after="120" w:line="312"/>
        <w:jc w:val="both"/>
      </w:pPr>
      <w:r>
        <w:rPr>
          <w:rFonts w:ascii="Times New Roman" w:hAnsi="Times New Roman"/>
          <w:color w:val="2B2320"/>
          <w:sz w:val="22"/>
          <w:szCs w:val="22"/>
        </w:rPr>
        <w:t xml:space="preserve">timeline/ draws the chronological map of the 43 campaigns (600 dpi, RU/EN) — a visual record of how the program grew from V01 to ES5. atlas/ assembles the flagship atlas: a 2×2 tile of four key results — blind zeros, the compiler, trace–primes, CHSH. The atlas is the "face" of the program: one picture, four proved results, every number with a verdict.</w:t>
      </w:r>
    </w:p>
    <w:p>
      <w:pPr>
        <w:spacing w:after="60" w:before="160"/>
        <w:jc w:val="center"/>
      </w:pPr>
      <w:r>
        <w:drawing>
          <wp:inline distT="0" distB="0" distL="0" distR="0">
            <wp:extent cx="0" cy="40671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0" cy="4067175"/>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16.1. Timeline of the 43 program campaigns (600 dpi).</w:t>
      </w:r>
    </w:p>
    <w:p>
      <w:pPr>
        <w:spacing w:after="60" w:before="160"/>
        <w:jc w:val="center"/>
      </w:pPr>
      <w:r>
        <w:drawing>
          <wp:inline distT="0" distB="0" distL="0" distR="0">
            <wp:extent cx="0" cy="4067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0" cy="4067175"/>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16.2. The flagship atlas: blind zeros · compiler · trace–primes · CHSH (600 dpi).</w:t>
      </w:r>
    </w:p>
    <w:p>
      <w:pPr>
        <w:pStyle w:val="Heading2"/>
        <w:spacing w:after="120" w:before="280" w:line="312"/>
      </w:pPr>
      <w:bookmarkStart w:name="_Toc65" w:id="65"/>
      <w:r>
        <w:rPr>
          <w:rFonts w:ascii="Times New Roman" w:hAnsi="Times New Roman"/>
          <w:b/>
          <w:bCs/>
          <w:color w:val="7A5C48"/>
          <w:sz w:val="26"/>
          <w:szCs w:val="26"/>
        </w:rPr>
        <w:t xml:space="preserve">16.3. Four-dimension tiles</w:t>
      </w:r>
      <w:bookmarkEnd w:id="65"/>
    </w:p>
    <w:p>
      <w:pPr>
        <w:spacing w:after="120" w:line="312"/>
        <w:jc w:val="both"/>
      </w:pPr>
      <w:r>
        <w:rPr>
          <w:rFonts w:ascii="Times New Roman" w:hAnsi="Times New Roman"/>
          <w:color w:val="2B2320"/>
          <w:sz w:val="22"/>
          <w:szCs w:val="22"/>
        </w:rPr>
        <w:t xml:space="preserve">figures_tiled/ contains the 12 tiles of Th1–Th6 (RU/EN): each is a 2×2 grid of four independent measurement dimensions (metric, instance behaviour, control, threshold) at 600 dpi. The original level figures are stored in modules/*/figures_hires/. The tiles are assembled by make_tiled_figures.py from verdicts — like all derived artifacts, they are never edited by hand.</w:t>
      </w:r>
    </w:p>
    <w:p>
      <w:pPr>
        <w:pStyle w:val="Heading1"/>
        <w:spacing w:after="160" w:before="360" w:line="312"/>
      </w:pPr>
      <w:bookmarkStart w:name="_Toc66" w:id="66"/>
      <w:r>
        <w:rPr>
          <w:rFonts w:ascii="Times New Roman" w:hAnsi="Times New Roman"/>
          <w:b/>
          <w:bCs/>
          <w:color w:val="2B2320"/>
          <w:sz w:val="32"/>
          <w:szCs w:val="32"/>
        </w:rPr>
        <w:t xml:space="preserve">Chapter 17. Web Laboratories</w:t>
      </w:r>
      <w:bookmarkEnd w:id="66"/>
    </w:p>
    <w:p>
      <w:pPr>
        <w:spacing w:after="160" w:line="312"/>
        <w:jc w:val="both"/>
      </w:pPr>
      <w:r>
        <w:rPr>
          <w:rFonts w:ascii="Times New Roman" w:hAnsi="Times New Roman"/>
          <w:color w:val="7A5C48"/>
          <w:sz w:val="23"/>
          <w:szCs w:val="23"/>
        </w:rPr>
        <w:t xml:space="preserve">Three web laboratories make the program interactive: the research portal, the 10-tab core laboratory and the 8-tab processor laboratory. All computations run locally in the browser — no network, no dependencies.</w:t>
      </w:r>
    </w:p>
    <w:p>
      <w:pPr>
        <w:keepNext/>
        <w:spacing w:after="80" w:before="160"/>
        <w:jc w:val="center"/>
      </w:pPr>
      <w:r>
        <w:rPr>
          <w:rFonts w:ascii="Times New Roman" w:hAnsi="Times New Roman"/>
          <w:b/>
          <w:bCs/>
          <w:color w:val="7A5C48"/>
          <w:sz w:val="19"/>
          <w:szCs w:val="19"/>
        </w:rPr>
        <w:t xml:space="preserve">Table 17.1. Web laboratories of the program</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2708"/>
        <w:gridCol w:w="1444"/>
        <w:gridCol w:w="4874"/>
      </w:tblGrid>
      <w:tr>
        <w:trPr>
          <w:cantSplit/>
          <w:tblHeader/>
        </w:trPr>
        <w:tc>
          <w:tcPr>
            <w:tcW w:type="pct" w:w="15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Laboratory</w:t>
            </w:r>
          </w:p>
        </w:tc>
        <w:tc>
          <w:tcPr>
            <w:tcW w:type="pct" w:w="8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Tabs</w:t>
            </w:r>
          </w:p>
        </w:tc>
        <w:tc>
          <w:tcPr>
            <w:tcW w:type="pct" w:w="27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Inside</w:t>
            </w:r>
          </w:p>
        </w:tc>
      </w:tr>
      <w:tr>
        <w:trPr>
          <w:cantSplit/>
        </w:trPr>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web_lab/index.html — portal</w:t>
            </w:r>
          </w:p>
        </w:tc>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3 blocks + theorems</w:t>
            </w:r>
          </w:p>
        </w:tc>
        <w:tc>
          <w:tcPr>
            <w:tcW w:type="pct" w:w="2700"/>
            <w:tcMar>
              <w:top w:type="dxa" w:w="60"/>
              <w:left w:type="dxa" w:w="120"/>
              <w:bottom w:type="dxa" w:w="60"/>
              <w:right w:type="dxa" w:w="120"/>
            </w:tcMar>
          </w:tcPr>
          <w:p>
            <w:pPr>
              <w:spacing w:line="276"/>
            </w:pPr>
            <w:r>
              <w:rPr>
                <w:rFonts w:ascii="Times New Roman" w:hAnsi="Times New Roman"/>
                <w:color w:val="2B2320"/>
                <w:sz w:val="18"/>
                <w:szCs w:val="18"/>
              </w:rPr>
              <w:t xml:space="preserve">the levels, the Th1–Th6 layer, formal status, the spinor study</w:t>
            </w:r>
          </w:p>
        </w:tc>
      </w:tr>
      <w:tr>
        <w:trPr>
          <w:cantSplit/>
        </w:trPr>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Core laboratory</w:t>
            </w:r>
          </w:p>
        </w:tc>
        <w:tc>
          <w:tcPr>
            <w:tcW w:type="pct" w:w="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10</w:t>
            </w:r>
          </w:p>
        </w:tc>
        <w:tc>
          <w:tcPr>
            <w:tcW w:type="pct" w:w="2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Riemann–Siegel Z(t), gate constructor, trace↔primes, Li criterion, ψ-ladder, V16–V19, theorems</w:t>
            </w:r>
          </w:p>
        </w:tc>
      </w:tr>
      <w:tr>
        <w:trPr>
          <w:cantSplit/>
        </w:trPr>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Processor laboratory</w:t>
            </w:r>
          </w:p>
        </w:tc>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8</w:t>
            </w:r>
          </w:p>
        </w:tc>
        <w:tc>
          <w:tcPr>
            <w:tcW w:type="pct" w:w="2700"/>
            <w:tcMar>
              <w:top w:type="dxa" w:w="60"/>
              <w:left w:type="dxa" w:w="120"/>
              <w:bottom w:type="dxa" w:w="60"/>
              <w:right w:type="dxa" w:w="120"/>
            </w:tcMar>
          </w:tcPr>
          <w:p>
            <w:pPr>
              <w:spacing w:line="276"/>
            </w:pPr>
            <w:r>
              <w:rPr>
                <w:rFonts w:ascii="Times New Roman" w:hAnsi="Times New Roman"/>
                <w:color w:val="2B2320"/>
                <w:sz w:val="18"/>
                <w:szCs w:val="18"/>
              </w:rPr>
              <w:t xml:space="preserve">ISA, V20 compiler, zero reading (V23·E11/E17), nonlocality, roadmap, data, theorems</w:t>
            </w:r>
          </w:p>
        </w:tc>
      </w:tr>
    </w:tbl>
    <w:p>
      <w:pPr>
        <w:spacing w:after="120"/>
      </w:pPr>
    </w:p>
    <w:p>
      <w:pPr>
        <w:spacing w:after="120" w:line="312"/>
        <w:jc w:val="both"/>
      </w:pPr>
      <w:r>
        <w:rPr>
          <w:rFonts w:ascii="Times New Roman" w:hAnsi="Times New Roman"/>
          <w:color w:val="2B2320"/>
          <w:sz w:val="22"/>
          <w:szCs w:val="22"/>
        </w:rPr>
        <w:t xml:space="preserve">The technical principle of the laboratories: zero dependencies. JavaScript implementations of the core and the processor are included in the repository (modules/core_spectrum/multilang/javascript/, the compiler tab of the processor), and the control files stitch_control.txt and verify_control.txt guarantee consistency with the other languages. Opening index.html locally gives the full functionality: Z(t) is computed in the browser, the λ_n ladder is drawn in real time, the CHSH experiment runs on canvas functions.</w:t>
      </w:r>
    </w:p>
    <w:p>
      <w:pPr>
        <w:spacing w:after="120" w:line="312"/>
        <w:jc w:val="both"/>
      </w:pPr>
      <w:r>
        <w:rPr>
          <w:rFonts w:ascii="Times New Roman" w:hAnsi="Times New Roman"/>
          <w:color w:val="2B2320"/>
          <w:sz w:val="22"/>
          <w:szCs w:val="22"/>
        </w:rPr>
        <w:t xml:space="preserve">The laboratories play the role of "living documentation": every number of the monograph can be seen in motion. For a teacher this is ready demonstration material; for a referee — a way to check the model behaviour beyond the printed values; for the author — a permanent smoke test: if the implementation diverges from the control files, the tab will show it.</w:t>
      </w:r>
    </w:p>
    <w:p>
      <w:pPr>
        <w:pStyle w:val="Heading1"/>
        <w:spacing w:after="160" w:before="360" w:line="312"/>
      </w:pPr>
      <w:bookmarkStart w:name="_Toc67" w:id="67"/>
      <w:r>
        <w:rPr>
          <w:rFonts w:ascii="Times New Roman" w:hAnsi="Times New Roman"/>
          <w:b/>
          <w:bCs/>
          <w:color w:val="2B2320"/>
          <w:sz w:val="32"/>
          <w:szCs w:val="32"/>
        </w:rPr>
        <w:t xml:space="preserve">Chapter 18. The Formal Layer: Lean 4, Coq, Agda, Isabelle</w:t>
      </w:r>
      <w:bookmarkEnd w:id="67"/>
    </w:p>
    <w:p>
      <w:pPr>
        <w:spacing w:after="160" w:line="312"/>
        <w:jc w:val="both"/>
      </w:pPr>
      <w:r>
        <w:rPr>
          <w:rFonts w:ascii="Times New Roman" w:hAnsi="Times New Roman"/>
          <w:color w:val="7A5C48"/>
          <w:sz w:val="23"/>
          <w:szCs w:val="23"/>
        </w:rPr>
        <w:t xml:space="preserve">The formal layer fixes the statements and reductions A1–A6: what is verified numerically must be formally stated — and vice versa. The build is checked by CI; sorry and admit are not used.</w:t>
      </w:r>
    </w:p>
    <w:p>
      <w:pPr>
        <w:pStyle w:val="Heading2"/>
        <w:spacing w:after="120" w:before="280" w:line="312"/>
      </w:pPr>
      <w:bookmarkStart w:name="_Toc68" w:id="68"/>
      <w:r>
        <w:rPr>
          <w:rFonts w:ascii="Times New Roman" w:hAnsi="Times New Roman"/>
          <w:b/>
          <w:bCs/>
          <w:color w:val="7A5C48"/>
          <w:sz w:val="26"/>
          <w:szCs w:val="26"/>
        </w:rPr>
        <w:t xml:space="preserve">18.1. Reductions A1–A6</w:t>
      </w:r>
      <w:bookmarkEnd w:id="68"/>
    </w:p>
    <w:p>
      <w:pPr>
        <w:spacing w:after="120" w:line="312"/>
        <w:jc w:val="both"/>
      </w:pPr>
      <w:r>
        <w:rPr>
          <w:rFonts w:ascii="Times New Roman" w:hAnsi="Times New Roman"/>
          <w:color w:val="2B2320"/>
          <w:sz w:val="22"/>
          <w:szCs w:val="22"/>
        </w:rPr>
        <w:t xml:space="preserve">Six reductions correspond to the six core theorems: A1 (Hermiticity and spectral symmetry), A2 (block reduction; A2b — self-adjointness on ℂ^N), A3 (the Guinand–Weil correspondence), A4–A5 (Kato estimates and Gershgorin bounds), A6 (the Li formula and absolute convergence). Each reduction is a bridge between a numerical certificate and a formal statement: the certificate shows that the implementation matches the statement; the reduction shows that the statement matches the mathematics.</w:t>
      </w:r>
    </w:p>
    <w:p>
      <w:pPr>
        <w:pStyle w:val="Heading2"/>
        <w:spacing w:after="120" w:before="280" w:line="312"/>
      </w:pPr>
      <w:bookmarkStart w:name="_Toc69" w:id="69"/>
      <w:r>
        <w:rPr>
          <w:rFonts w:ascii="Times New Roman" w:hAnsi="Times New Roman"/>
          <w:b/>
          <w:bCs/>
          <w:color w:val="7A5C48"/>
          <w:sz w:val="26"/>
          <w:szCs w:val="26"/>
        </w:rPr>
        <w:t xml:space="preserve">18.2. Multi-prover duplication</w:t>
      </w:r>
      <w:bookmarkEnd w:id="69"/>
    </w:p>
    <w:p>
      <w:pPr>
        <w:spacing w:after="120" w:line="312"/>
        <w:jc w:val="both"/>
      </w:pPr>
      <w:r>
        <w:rPr>
          <w:rFonts w:ascii="Times New Roman" w:hAnsi="Times New Roman"/>
          <w:color w:val="2B2320"/>
          <w:sz w:val="22"/>
          <w:szCs w:val="22"/>
        </w:rPr>
        <w:t xml:space="preserve">The statements are duplicated in four systems: Lean 4, Coq, Agda, Isabelle. The duplication is not redundant: different systems have different kernel logics and different blind zones, and the consistency of the formulations is itself a check. The CI pipeline verifies the build of all four; the formal-layer status is exposed in the badges of the main README and the web laboratories.</w:t>
      </w:r>
    </w:p>
    <w:p>
      <w:pPr>
        <w:spacing w:after="120" w:line="312"/>
        <w:jc w:val="both"/>
      </w:pPr>
      <w:r>
        <w:rPr>
          <w:rFonts w:ascii="Times New Roman" w:hAnsi="Times New Roman"/>
          <w:color w:val="2B2320"/>
          <w:sz w:val="22"/>
          <w:szCs w:val="22"/>
        </w:rPr>
        <w:t xml:space="preserve">The link to the obligation machine (chapter 6) is direct: the proven nodes of V13 are the proved reductions of the formal layer; the assumed nodes are analytic hypotheses awaiting their proofs. The formal layer, therefore, is not decoration but the carrier of statuses: it is here that the difference between proved and computed is stored.</w:t>
      </w:r>
    </w:p>
    <w:p>
      <w:pPr>
        <w:pStyle w:val="Heading1"/>
        <w:spacing w:after="160" w:before="360" w:line="312"/>
      </w:pPr>
      <w:bookmarkStart w:name="_Toc70" w:id="70"/>
      <w:r>
        <w:rPr>
          <w:rFonts w:ascii="Times New Roman" w:hAnsi="Times New Roman"/>
          <w:b/>
          <w:bCs/>
          <w:color w:val="2B2320"/>
          <w:sz w:val="32"/>
          <w:szCs w:val="32"/>
        </w:rPr>
        <w:t xml:space="preserve">Chapter 19. Level Research Programs</w:t>
      </w:r>
      <w:bookmarkEnd w:id="70"/>
    </w:p>
    <w:p>
      <w:pPr>
        <w:spacing w:after="160" w:line="312"/>
        <w:jc w:val="both"/>
      </w:pPr>
      <w:r>
        <w:rPr>
          <w:rFonts w:ascii="Times New Roman" w:hAnsi="Times New Roman"/>
          <w:color w:val="7A5C48"/>
          <w:sz w:val="23"/>
          <w:szCs w:val="23"/>
        </w:rPr>
        <w:t xml:space="preserve">Every level of the program has its own research program: goals, campaigns, thresholds, the next wave. This chapter summarizes the four programs; full versions are published as separate monographs in MONOGRAPH_ARCHIVE/research_programs/.</w:t>
      </w:r>
    </w:p>
    <w:p>
      <w:pPr>
        <w:pStyle w:val="Heading2"/>
        <w:spacing w:after="120" w:before="280" w:line="312"/>
      </w:pPr>
      <w:bookmarkStart w:name="_Toc71" w:id="71"/>
      <w:r>
        <w:rPr>
          <w:rFonts w:ascii="Times New Roman" w:hAnsi="Times New Roman"/>
          <w:b/>
          <w:bCs/>
          <w:color w:val="7A5C48"/>
          <w:sz w:val="26"/>
          <w:szCs w:val="26"/>
        </w:rPr>
        <w:t xml:space="preserve">19.1. The core program (R2)</w:t>
      </w:r>
      <w:bookmarkEnd w:id="71"/>
    </w:p>
    <w:p>
      <w:pPr>
        <w:spacing w:after="120" w:line="312"/>
        <w:jc w:val="both"/>
      </w:pPr>
      <w:r>
        <w:rPr>
          <w:rFonts w:ascii="Times New Roman" w:hAnsi="Times New Roman"/>
          <w:color w:val="2B2320"/>
          <w:sz w:val="22"/>
          <w:szCs w:val="22"/>
        </w:rPr>
        <w:t xml:space="preserve">Done: V01–V19, Th1–Th6, V13. Next: refining the stitching (r_align ≤ 0.135), the ζ monodromy as an algebraic object, compiling obligations into Lean/Coq (O-lean/O-coq). Risk factor: the analytic hypotheses O08/O09/O11/O12 — without them RH stays blocked, and that is the right state.</w:t>
      </w:r>
    </w:p>
    <w:p>
      <w:pPr>
        <w:pStyle w:val="Heading2"/>
        <w:spacing w:after="120" w:before="280" w:line="312"/>
      </w:pPr>
      <w:bookmarkStart w:name="_Toc72" w:id="72"/>
      <w:r>
        <w:rPr>
          <w:rFonts w:ascii="Times New Roman" w:hAnsi="Times New Roman"/>
          <w:b/>
          <w:bCs/>
          <w:color w:val="7A5C48"/>
          <w:sz w:val="26"/>
          <w:szCs w:val="26"/>
        </w:rPr>
        <w:t xml:space="preserve">19.2. The processor program (P0–P6)</w:t>
      </w:r>
      <w:bookmarkEnd w:id="72"/>
    </w:p>
    <w:p>
      <w:pPr>
        <w:spacing w:after="120" w:line="312"/>
        <w:jc w:val="both"/>
      </w:pPr>
      <w:r>
        <w:rPr>
          <w:rFonts w:ascii="Times New Roman" w:hAnsi="Times New Roman"/>
          <w:color w:val="2B2320"/>
          <w:sz w:val="22"/>
          <w:szCs w:val="22"/>
        </w:rPr>
        <w:t xml:space="preserve">Done: P0 (V20). Next: P1 memory V21 (relies on the ES models), P2 ALU V22, P3 reading V23 (relies on E17), P4 nonlocality V24 (relies on E13/E14), P5 benchmarks V25 (the E18 methodology), P6 the Datasheet 1.0 passport V26. The target artifact is the processor passport: a specification-grade document where every number has a verdict.</w:t>
      </w:r>
    </w:p>
    <w:p>
      <w:pPr>
        <w:pStyle w:val="Heading2"/>
        <w:spacing w:after="120" w:before="280" w:line="312"/>
      </w:pPr>
      <w:bookmarkStart w:name="_Toc73" w:id="73"/>
      <w:r>
        <w:rPr>
          <w:rFonts w:ascii="Times New Roman" w:hAnsi="Times New Roman"/>
          <w:b/>
          <w:bCs/>
          <w:color w:val="7A5C48"/>
          <w:sz w:val="26"/>
          <w:szCs w:val="26"/>
        </w:rPr>
        <w:t xml:space="preserve">19.3. The verification program (O-J)</w:t>
      </w:r>
      <w:bookmarkEnd w:id="73"/>
    </w:p>
    <w:p>
      <w:pPr>
        <w:spacing w:after="120" w:line="312"/>
        <w:jc w:val="both"/>
      </w:pPr>
      <w:r>
        <w:rPr>
          <w:rFonts w:ascii="Times New Roman" w:hAnsi="Times New Roman"/>
          <w:color w:val="2B2320"/>
          <w:sz w:val="22"/>
          <w:szCs w:val="22"/>
        </w:rPr>
        <w:t xml:space="preserve">Done: O-J1 (T = 1000), O-J2 (class B). Next: O-J3 QEC memory (relies on E07 and V21), O-J4 digital twin, O-J5 the integration campaign; target heights T well above 1000. Verification grows with the processor: every new stage of the P-chain gets its own O-J stage.</w:t>
      </w:r>
    </w:p>
    <w:p>
      <w:pPr>
        <w:pStyle w:val="Heading2"/>
        <w:spacing w:after="120" w:before="280" w:line="312"/>
      </w:pPr>
      <w:bookmarkStart w:name="_Toc74" w:id="74"/>
      <w:r>
        <w:rPr>
          <w:rFonts w:ascii="Times New Roman" w:hAnsi="Times New Roman"/>
          <w:b/>
          <w:bCs/>
          <w:color w:val="7A5C48"/>
          <w:sz w:val="26"/>
          <w:szCs w:val="26"/>
        </w:rPr>
        <w:t xml:space="preserve">19.4. The spinor program</w:t>
      </w:r>
      <w:bookmarkEnd w:id="74"/>
    </w:p>
    <w:p>
      <w:pPr>
        <w:spacing w:after="120" w:line="312"/>
        <w:jc w:val="both"/>
      </w:pPr>
      <w:r>
        <w:rPr>
          <w:rFonts w:ascii="Times New Roman" w:hAnsi="Times New Roman"/>
          <w:color w:val="2B2320"/>
          <w:sz w:val="22"/>
          <w:szCs w:val="22"/>
        </w:rPr>
        <w:t xml:space="preserve">Done: ES1–ES5, TS1–TS3. Next: phases θ = π/k for k &gt; 7 (capacity versus robustness), task compilation into phase cycles, a diffusion channel with correlations. The spinor level is the testing ground for P1 ideas: before memory V21 enters the processor, its models are verified here.</w:t>
      </w:r>
    </w:p>
    <w:p>
      <w:pPr>
        <w:pStyle w:val="Heading1"/>
        <w:spacing w:after="160" w:before="360" w:line="312"/>
      </w:pPr>
      <w:bookmarkStart w:name="_Toc75" w:id="75"/>
      <w:r>
        <w:rPr>
          <w:rFonts w:ascii="Times New Roman" w:hAnsi="Times New Roman"/>
          <w:b/>
          <w:bCs/>
          <w:color w:val="2B2320"/>
          <w:sz w:val="32"/>
          <w:szCs w:val="32"/>
        </w:rPr>
        <w:t xml:space="preserve">Chapter 20. The Hypothesis Laboratory</w:t>
      </w:r>
      <w:bookmarkEnd w:id="75"/>
    </w:p>
    <w:p>
      <w:pPr>
        <w:spacing w:after="160" w:line="312"/>
        <w:jc w:val="both"/>
      </w:pPr>
      <w:r>
        <w:rPr>
          <w:rFonts w:ascii="Times New Roman" w:hAnsi="Times New Roman"/>
          <w:color w:val="7A5C48"/>
          <w:sz w:val="23"/>
          <w:szCs w:val="23"/>
        </w:rPr>
        <w:t xml:space="preserve">HYPOTHESIS_LAB is an open laboratory inside the program: any researcher can test their own hypothesis under the project discipline — pre-registered thresholds, blind protocols, verdicts with a does_not_prove field.</w:t>
      </w:r>
    </w:p>
    <w:p>
      <w:pPr>
        <w:pStyle w:val="Heading2"/>
        <w:spacing w:after="120" w:before="280" w:line="312"/>
      </w:pPr>
      <w:bookmarkStart w:name="_Toc76" w:id="76"/>
      <w:r>
        <w:rPr>
          <w:rFonts w:ascii="Times New Roman" w:hAnsi="Times New Roman"/>
          <w:b/>
          <w:bCs/>
          <w:color w:val="7A5C48"/>
          <w:sz w:val="26"/>
          <w:szCs w:val="26"/>
        </w:rPr>
        <w:t xml:space="preserve">20.1. Why a laboratory</w:t>
      </w:r>
      <w:bookmarkEnd w:id="76"/>
    </w:p>
    <w:p>
      <w:pPr>
        <w:spacing w:after="120" w:line="312"/>
        <w:jc w:val="both"/>
      </w:pPr>
      <w:r>
        <w:rPr>
          <w:rFonts w:ascii="Times New Roman" w:hAnsi="Times New Roman"/>
          <w:color w:val="2B2320"/>
          <w:sz w:val="22"/>
          <w:szCs w:val="22"/>
        </w:rPr>
        <w:t xml:space="preserve">The program has accumulated a methodology that usually takes years to acquire: how to fix thresholds, how to separate detector and validator, how to pin outputs, how to declare a verdict. The laboratory packages this methodology into a tool: ab_lab.py (CLI) and hypothesis_lab.html (browser). A hypothesis is formulated as a JSON config: what is tested, what threshold, what the result does not prove. The laboratory runs the experiment, produces a PASS/FAIL verdict and writes a report.</w:t>
      </w:r>
    </w:p>
    <w:p>
      <w:pPr>
        <w:pStyle w:val="Heading2"/>
        <w:spacing w:after="120" w:before="280" w:line="312"/>
      </w:pPr>
      <w:bookmarkStart w:name="_Toc77" w:id="77"/>
      <w:r>
        <w:rPr>
          <w:rFonts w:ascii="Times New Roman" w:hAnsi="Times New Roman"/>
          <w:b/>
          <w:bCs/>
          <w:color w:val="7A5C48"/>
          <w:sz w:val="26"/>
          <w:szCs w:val="26"/>
        </w:rPr>
        <w:t xml:space="preserve">20.2. Experiment batteries</w:t>
      </w:r>
      <w:bookmarkEnd w:id="77"/>
    </w:p>
    <w:p>
      <w:pPr>
        <w:keepNext/>
        <w:spacing w:after="80" w:before="160"/>
        <w:jc w:val="center"/>
      </w:pPr>
      <w:r>
        <w:rPr>
          <w:rFonts w:ascii="Times New Roman" w:hAnsi="Times New Roman"/>
          <w:b/>
          <w:bCs/>
          <w:color w:val="7A5C48"/>
          <w:sz w:val="19"/>
          <w:szCs w:val="19"/>
        </w:rPr>
        <w:t xml:space="preserve">Table 20.1. Laboratory batteries</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1444"/>
        <w:gridCol w:w="3791"/>
        <w:gridCol w:w="3791"/>
      </w:tblGrid>
      <w:tr>
        <w:trPr>
          <w:cantSplit/>
          <w:tblHeader/>
        </w:trPr>
        <w:tc>
          <w:tcPr>
            <w:tcW w:type="pct" w:w="8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Battery</w:t>
            </w:r>
          </w:p>
        </w:tc>
        <w:tc>
          <w:tcPr>
            <w:tcW w:type="pct" w:w="21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What it tests</w:t>
            </w:r>
          </w:p>
        </w:tc>
        <w:tc>
          <w:tcPr>
            <w:tcW w:type="pct" w:w="21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Key output</w:t>
            </w:r>
          </w:p>
        </w:tc>
      </w:tr>
      <w:tr>
        <w:trPr>
          <w:cantSplit/>
        </w:trPr>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spinor</w:t>
            </w:r>
          </w:p>
        </w:tc>
        <w:tc>
          <w:tcPr>
            <w:tcW w:type="pct" w:w="2100"/>
            <w:tcMar>
              <w:top w:type="dxa" w:w="60"/>
              <w:left w:type="dxa" w:w="120"/>
              <w:bottom w:type="dxa" w:w="60"/>
              <w:right w:type="dxa" w:w="120"/>
            </w:tcMar>
          </w:tcPr>
          <w:p>
            <w:pPr>
              <w:spacing w:line="276"/>
            </w:pPr>
            <w:r>
              <w:rPr>
                <w:rFonts w:ascii="Times New Roman" w:hAnsi="Times New Roman"/>
                <w:color w:val="2B2320"/>
                <w:sz w:val="18"/>
                <w:szCs w:val="18"/>
              </w:rPr>
              <w:t xml:space="preserve">the phase model θ = π/k: cycles, reset, time</w:t>
            </w:r>
          </w:p>
        </w:tc>
        <w:tc>
          <w:tcPr>
            <w:tcW w:type="pct" w:w="2100"/>
            <w:tcMar>
              <w:top w:type="dxa" w:w="60"/>
              <w:left w:type="dxa" w:w="120"/>
              <w:bottom w:type="dxa" w:w="60"/>
              <w:right w:type="dxa" w:w="120"/>
            </w:tcMar>
          </w:tcPr>
          <w:p>
            <w:pPr>
              <w:spacing w:line="276"/>
            </w:pPr>
            <w:r>
              <w:rPr>
                <w:rFonts w:ascii="Times New Roman" w:hAnsi="Times New Roman"/>
                <w:color w:val="2B2320"/>
                <w:sz w:val="18"/>
                <w:szCs w:val="18"/>
              </w:rPr>
              <w:t xml:space="preserve">period 2k; reconstruction ≈ 1/N; step slope</w:t>
            </w:r>
          </w:p>
        </w:tc>
      </w:tr>
      <w:tr>
        <w:trPr>
          <w:cantSplit/>
        </w:trPr>
        <w:tc>
          <w:tcPr>
            <w:tcW w:type="pct" w:w="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trace</w:t>
            </w:r>
          </w:p>
        </w:tc>
        <w:tc>
          <w:tcPr>
            <w:tcW w:type="pct" w:w="2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trace ↔ primes (Th6-style)</w:t>
            </w:r>
          </w:p>
        </w:tc>
        <w:tc>
          <w:tcPr>
            <w:tcW w:type="pct" w:w="2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correlation r; comparison with control</w:t>
            </w:r>
          </w:p>
        </w:tc>
      </w:tr>
      <w:tr>
        <w:trPr>
          <w:cantSplit/>
        </w:trPr>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zeros</w:t>
            </w:r>
          </w:p>
        </w:tc>
        <w:tc>
          <w:tcPr>
            <w:tcW w:type="pct" w:w="2100"/>
            <w:tcMar>
              <w:top w:type="dxa" w:w="60"/>
              <w:left w:type="dxa" w:w="120"/>
              <w:bottom w:type="dxa" w:w="60"/>
              <w:right w:type="dxa" w:w="120"/>
            </w:tcMar>
          </w:tcPr>
          <w:p>
            <w:pPr>
              <w:spacing w:line="276"/>
            </w:pPr>
            <w:r>
              <w:rPr>
                <w:rFonts w:ascii="Times New Roman" w:hAnsi="Times New Roman"/>
                <w:color w:val="2B2320"/>
                <w:sz w:val="18"/>
                <w:szCs w:val="18"/>
              </w:rPr>
              <w:t xml:space="preserve">blind zero reading (mini-E17)</w:t>
            </w:r>
          </w:p>
        </w:tc>
        <w:tc>
          <w:tcPr>
            <w:tcW w:type="pct" w:w="2100"/>
            <w:tcMar>
              <w:top w:type="dxa" w:w="60"/>
              <w:left w:type="dxa" w:w="120"/>
              <w:bottom w:type="dxa" w:w="60"/>
              <w:right w:type="dxa" w:w="120"/>
            </w:tcMar>
          </w:tcPr>
          <w:p>
            <w:pPr>
              <w:spacing w:line="276"/>
            </w:pPr>
            <w:r>
              <w:rPr>
                <w:rFonts w:ascii="Times New Roman" w:hAnsi="Times New Roman"/>
                <w:color w:val="2B2320"/>
                <w:sz w:val="18"/>
                <w:szCs w:val="18"/>
              </w:rPr>
              <w:t xml:space="preserve">precision/recall; cross-engine</w:t>
            </w:r>
          </w:p>
        </w:tc>
      </w:tr>
      <w:tr>
        <w:trPr>
          <w:cantSplit/>
        </w:trPr>
        <w:tc>
          <w:tcPr>
            <w:tcW w:type="pct" w:w="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compile</w:t>
            </w:r>
          </w:p>
        </w:tc>
        <w:tc>
          <w:tcPr>
            <w:tcW w:type="pct" w:w="2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exact compilation of unitary 4×4</w:t>
            </w:r>
          </w:p>
        </w:tc>
        <w:tc>
          <w:tcPr>
            <w:tcW w:type="pct" w:w="2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1−F against machine epsilon</w:t>
            </w:r>
          </w:p>
        </w:tc>
      </w:tr>
    </w:tbl>
    <w:p>
      <w:pPr>
        <w:spacing w:after="120"/>
      </w:pPr>
    </w:p>
    <w:p>
      <w:pPr>
        <w:spacing w:after="120" w:line="312"/>
        <w:jc w:val="both"/>
      </w:pPr>
      <w:r>
        <w:rPr>
          <w:rFonts w:ascii="Times New Roman" w:hAnsi="Times New Roman"/>
          <w:color w:val="2B2320"/>
          <w:sz w:val="22"/>
          <w:szCs w:val="22"/>
        </w:rPr>
        <w:t xml:space="preserve">An example run: python3 ab_lab.py run spinor --theta 0.37 --steps 200. The laboratory computes the nearest model cycle, checks closure, measures post-reset reconstruction and step cost, compares against the pre-registered thresholds of the config and issues a verdict. The report is saved to reports/ with a SHA256 of the output — the program discipline is applied to every hypothesis automatically.</w:t>
      </w:r>
    </w:p>
    <w:p>
      <w:pPr>
        <w:pStyle w:val="Heading2"/>
        <w:spacing w:after="120" w:before="280" w:line="312"/>
      </w:pPr>
      <w:bookmarkStart w:name="_Toc78" w:id="78"/>
      <w:r>
        <w:rPr>
          <w:rFonts w:ascii="Times New Roman" w:hAnsi="Times New Roman"/>
          <w:b/>
          <w:bCs/>
          <w:color w:val="7A5C48"/>
          <w:sz w:val="26"/>
          <w:szCs w:val="26"/>
        </w:rPr>
        <w:t xml:space="preserve">20.3. Laboratory rules</w:t>
      </w:r>
      <w:bookmarkEnd w:id="78"/>
    </w:p>
    <w:p>
      <w:pPr>
        <w:spacing w:after="60" w:line="312"/>
        <w:ind w:left="360" w:hanging="240"/>
        <w:jc w:val="left"/>
      </w:pPr>
      <w:r>
        <w:rPr>
          <w:rFonts w:ascii="Times New Roman" w:hAnsi="Times New Roman"/>
          <w:color w:val="2B2320"/>
          <w:sz w:val="22"/>
          <w:szCs w:val="22"/>
        </w:rPr>
        <w:t xml:space="preserve">1.  </w:t>
      </w:r>
      <w:r>
        <w:rPr>
          <w:rFonts w:ascii="Times New Roman" w:hAnsi="Times New Roman"/>
          <w:color w:val="2B2320"/>
          <w:sz w:val="22"/>
          <w:szCs w:val="22"/>
        </w:rPr>
        <w:t xml:space="preserve">Threshold before the run: the hypothesis config fixes thresholds before launch; changing a threshold after the run invalidates the verdict.</w:t>
      </w:r>
    </w:p>
    <w:p>
      <w:pPr>
        <w:spacing w:after="60" w:line="312"/>
        <w:ind w:left="360" w:hanging="240"/>
        <w:jc w:val="left"/>
      </w:pPr>
      <w:r>
        <w:rPr>
          <w:rFonts w:ascii="Times New Roman" w:hAnsi="Times New Roman"/>
          <w:color w:val="2B2320"/>
          <w:sz w:val="22"/>
          <w:szCs w:val="22"/>
        </w:rPr>
        <w:t xml:space="preserve">2.  </w:t>
      </w:r>
      <w:r>
        <w:rPr>
          <w:rFonts w:ascii="Times New Roman" w:hAnsi="Times New Roman"/>
          <w:color w:val="2B2320"/>
          <w:sz w:val="22"/>
          <w:szCs w:val="22"/>
        </w:rPr>
        <w:t xml:space="preserve">Blindness: if a battery uses a reference, it is connected by the validator, not the detector.</w:t>
      </w:r>
    </w:p>
    <w:p>
      <w:pPr>
        <w:spacing w:after="60" w:line="312"/>
        <w:ind w:left="360" w:hanging="240"/>
        <w:jc w:val="left"/>
      </w:pPr>
      <w:r>
        <w:rPr>
          <w:rFonts w:ascii="Times New Roman" w:hAnsi="Times New Roman"/>
          <w:color w:val="2B2320"/>
          <w:sz w:val="22"/>
          <w:szCs w:val="22"/>
        </w:rPr>
        <w:t xml:space="preserve">3.  </w:t>
      </w:r>
      <w:r>
        <w:rPr>
          <w:rFonts w:ascii="Times New Roman" w:hAnsi="Times New Roman"/>
          <w:color w:val="2B2320"/>
          <w:sz w:val="22"/>
          <w:szCs w:val="22"/>
        </w:rPr>
        <w:t xml:space="preserve">does_not_prove: every hypothesis must declare what its result does not prove.</w:t>
      </w:r>
    </w:p>
    <w:p>
      <w:pPr>
        <w:spacing w:after="60" w:line="312"/>
        <w:ind w:left="360" w:hanging="240"/>
        <w:jc w:val="left"/>
      </w:pPr>
      <w:r>
        <w:rPr>
          <w:rFonts w:ascii="Times New Roman" w:hAnsi="Times New Roman"/>
          <w:color w:val="2B2320"/>
          <w:sz w:val="22"/>
          <w:szCs w:val="22"/>
        </w:rPr>
        <w:t xml:space="preserve">4.  </w:t>
      </w:r>
      <w:r>
        <w:rPr>
          <w:rFonts w:ascii="Times New Roman" w:hAnsi="Times New Roman"/>
          <w:color w:val="2B2320"/>
          <w:sz w:val="22"/>
          <w:szCs w:val="22"/>
        </w:rPr>
        <w:t xml:space="preserve">Replication: it is advisable to repeat the run in a second arithmetic (float64 versus mpmath) and record the disagreement.</w:t>
      </w:r>
    </w:p>
    <w:p>
      <w:pPr>
        <w:spacing w:after="60" w:line="312"/>
        <w:ind w:left="360" w:hanging="240"/>
        <w:jc w:val="left"/>
      </w:pPr>
      <w:r>
        <w:rPr>
          <w:rFonts w:ascii="Times New Roman" w:hAnsi="Times New Roman"/>
          <w:color w:val="2B2320"/>
          <w:sz w:val="22"/>
          <w:szCs w:val="22"/>
        </w:rPr>
        <w:t xml:space="preserve">5.  </w:t>
      </w:r>
      <w:r>
        <w:rPr>
          <w:rFonts w:ascii="Times New Roman" w:hAnsi="Times New Roman"/>
          <w:color w:val="2B2320"/>
          <w:sz w:val="22"/>
          <w:szCs w:val="22"/>
        </w:rPr>
        <w:t xml:space="preserve">Publication: PASS and FAIL are published alike; the report is an artifact, not a draft.</w:t>
      </w:r>
    </w:p>
    <w:p>
      <w:pPr>
        <w:pStyle w:val="Heading1"/>
        <w:spacing w:after="160" w:before="360" w:line="312"/>
      </w:pPr>
      <w:bookmarkStart w:name="_Toc79" w:id="79"/>
      <w:r>
        <w:rPr>
          <w:rFonts w:ascii="Times New Roman" w:hAnsi="Times New Roman"/>
          <w:b/>
          <w:bCs/>
          <w:color w:val="2B2320"/>
          <w:sz w:val="32"/>
          <w:szCs w:val="32"/>
        </w:rPr>
        <w:t xml:space="preserve">Chapter 21. Roadmaps and Conclusion</w:t>
      </w:r>
      <w:bookmarkEnd w:id="79"/>
    </w:p>
    <w:p>
      <w:pPr>
        <w:spacing w:after="160" w:line="312"/>
        <w:jc w:val="both"/>
      </w:pPr>
      <w:r>
        <w:rPr>
          <w:rFonts w:ascii="Times New Roman" w:hAnsi="Times New Roman"/>
          <w:color w:val="7A5C48"/>
          <w:sz w:val="23"/>
          <w:szCs w:val="23"/>
        </w:rPr>
        <w:t xml:space="preserve">Four roadmaps are chained: the processor relies on verification, verification on the core, the spinor study on all of them. The chaining is not an organizational formality but a checkable dependency of verdicts.</w:t>
      </w:r>
    </w:p>
    <w:p>
      <w:pPr>
        <w:keepNext/>
        <w:spacing w:after="80" w:before="160"/>
        <w:jc w:val="center"/>
      </w:pPr>
      <w:r>
        <w:rPr>
          <w:rFonts w:ascii="Times New Roman" w:hAnsi="Times New Roman"/>
          <w:b/>
          <w:bCs/>
          <w:color w:val="7A5C48"/>
          <w:sz w:val="19"/>
          <w:szCs w:val="19"/>
        </w:rPr>
        <w:t xml:space="preserve">Table 21.1. Chained roadmaps</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1986"/>
        <w:gridCol w:w="2708"/>
        <w:gridCol w:w="4332"/>
      </w:tblGrid>
      <w:tr>
        <w:trPr>
          <w:cantSplit/>
          <w:tblHeader/>
        </w:trPr>
        <w:tc>
          <w:tcPr>
            <w:tcW w:type="pct" w:w="11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Level</w:t>
            </w:r>
          </w:p>
        </w:tc>
        <w:tc>
          <w:tcPr>
            <w:tcW w:type="pct" w:w="15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Status</w:t>
            </w:r>
          </w:p>
        </w:tc>
        <w:tc>
          <w:tcPr>
            <w:tcW w:type="pct" w:w="24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Next</w:t>
            </w:r>
          </w:p>
        </w:tc>
      </w:tr>
      <w:tr>
        <w:trPr>
          <w:cantSplit/>
        </w:trPr>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Core (R2)</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V19 stitching — algebraic certificate</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r_align ≤ 0.135; ζ monodromy; O-lean/O-coq</w:t>
            </w:r>
          </w:p>
        </w:tc>
      </w:tr>
      <w:tr>
        <w:trPr>
          <w:cantSplit/>
        </w:trPr>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Processor (P0–P6)</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P0 done (V20)</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P1 V21 → P2 V22 → P3 V23 → P4 V24 → P5 V25 → P6 V26</w:t>
            </w:r>
          </w:p>
        </w:tc>
      </w:tr>
      <w:tr>
        <w:trPr>
          <w:cantSplit/>
        </w:trPr>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Verification (O-J)</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O-J1, O-J2 done</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O-J3 QEC memory → O-J4 twin → O-J5 integration; T ≫ 1000</w:t>
            </w:r>
          </w:p>
        </w:tc>
      </w:tr>
      <w:tr>
        <w:trPr>
          <w:cantSplit/>
        </w:trPr>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Spinor</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ES1–ES5 done</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θ = π/k, k &gt; 7; task compilation; diffusion channel</w:t>
            </w:r>
          </w:p>
        </w:tc>
      </w:tr>
    </w:tbl>
    <w:p>
      <w:pPr>
        <w:spacing w:after="120"/>
      </w:pPr>
    </w:p>
    <w:p>
      <w:pPr>
        <w:spacing w:after="120" w:line="312"/>
        <w:jc w:val="both"/>
      </w:pPr>
      <w:r>
        <w:rPr>
          <w:rFonts w:ascii="Times New Roman" w:hAnsi="Times New Roman"/>
          <w:color w:val="2B2320"/>
          <w:sz w:val="22"/>
          <w:szCs w:val="22"/>
        </w:rPr>
        <w:t xml:space="preserve">The chaining is concrete: P3 (V23) builds on E17; P4 (V24) on E13/E14; O-J3 on E07 and V21; the spinor study formalizes "reads, does not carry" for P1. The roadmap reads as a dependency graph: a stage cannot be executed until its ancestors are executed. This protects the program from "jumps ahead" and makes every next verdict an heir of already-verified ones.</w:t>
      </w:r>
    </w:p>
    <w:p>
      <w:pPr>
        <w:pStyle w:val="Heading2"/>
        <w:spacing w:after="120" w:before="280" w:line="312"/>
      </w:pPr>
      <w:bookmarkStart w:name="_Toc80" w:id="80"/>
      <w:r>
        <w:rPr>
          <w:rFonts w:ascii="Times New Roman" w:hAnsi="Times New Roman"/>
          <w:b/>
          <w:bCs/>
          <w:color w:val="7A5C48"/>
          <w:sz w:val="26"/>
          <w:szCs w:val="26"/>
        </w:rPr>
        <w:t xml:space="preserve">21.1. Conclusion</w:t>
      </w:r>
      <w:bookmarkEnd w:id="80"/>
    </w:p>
    <w:p>
      <w:pPr>
        <w:spacing w:after="120" w:line="312"/>
        <w:jc w:val="both"/>
      </w:pPr>
      <w:r>
        <w:rPr>
          <w:rFonts w:ascii="Times New Roman" w:hAnsi="Times New Roman"/>
          <w:color w:val="2B2320"/>
          <w:sz w:val="22"/>
          <w:szCs w:val="22"/>
        </w:rPr>
        <w:t xml:space="preserve">AB Cloud Quantum Research is a provable architecture of reading mathematics: six constants instead of tables, a volatile phase instead of a log, blind protocols instead of promises, an obligation machine instead of illusions. Forty-three campaigns passed, nine theorems packaged with certificates, negative results published, RH honestly blocked. The next wave — memory V21, QEC O-J3, heights T above 1000, phases k above 7 — is built on an already-verified foundation.</w:t>
      </w:r>
    </w:p>
    <w:p>
      <w:pPr>
        <w:spacing w:after="120" w:line="312"/>
        <w:jc w:val="both"/>
      </w:pPr>
      <w:r>
        <w:rPr>
          <w:rFonts w:ascii="Times New Roman" w:hAnsi="Times New Roman"/>
          <w:color w:val="2B2320"/>
          <w:sz w:val="22"/>
          <w:szCs w:val="22"/>
        </w:rPr>
        <w:t xml:space="preserve">The monograph ends where the program begins: at the honest boundary. Everything above is a numerical and formal study of a mathematical model; it does not prove the Riemann hypothesis. But it does prove something that is rarely proved together: the accuracy of the implementation, the independence of the verification and the discipline of the conclusions. This is what makes the AB-cloud architecture an engineering object, and not only a mathematical dream.</w:t>
      </w:r>
    </w:p>
    <w:p>
      <w:pPr>
        <w:pStyle w:val="Heading1"/>
        <w:spacing w:after="160" w:before="360" w:line="312"/>
      </w:pPr>
      <w:bookmarkStart w:name="_Toc81" w:id="81"/>
      <w:r>
        <w:rPr>
          <w:rFonts w:ascii="Times New Roman" w:hAnsi="Times New Roman"/>
          <w:b/>
          <w:bCs/>
          <w:color w:val="2B2320"/>
          <w:sz w:val="32"/>
          <w:szCs w:val="32"/>
        </w:rPr>
        <w:t xml:space="preserve">Chapter 22. Mathematical Background</w:t>
      </w:r>
      <w:bookmarkEnd w:id="81"/>
    </w:p>
    <w:p>
      <w:pPr>
        <w:spacing w:after="160" w:line="312"/>
        <w:jc w:val="both"/>
      </w:pPr>
      <w:r>
        <w:rPr>
          <w:rFonts w:ascii="Times New Roman" w:hAnsi="Times New Roman"/>
          <w:color w:val="7A5C48"/>
          <w:sz w:val="23"/>
          <w:szCs w:val="23"/>
        </w:rPr>
        <w:t xml:space="preserve">This chapter collects the minimal mathematical apparatus needed to read the monograph: the zeta function and the Riemann–von Mangoldt formula, GUE statistics, the heat trace, Kato theory, the Li formula and the CHSH inequality. The treatment is working: only what the campaigns actually use.</w:t>
      </w:r>
    </w:p>
    <w:p>
      <w:pPr>
        <w:pStyle w:val="Heading2"/>
        <w:spacing w:after="120" w:before="280" w:line="312"/>
      </w:pPr>
      <w:bookmarkStart w:name="_Toc82" w:id="82"/>
      <w:r>
        <w:rPr>
          <w:rFonts w:ascii="Times New Roman" w:hAnsi="Times New Roman"/>
          <w:b/>
          <w:bCs/>
          <w:color w:val="7A5C48"/>
          <w:sz w:val="26"/>
          <w:szCs w:val="26"/>
        </w:rPr>
        <w:t xml:space="preserve">22.1. The zeta function and zero counting</w:t>
      </w:r>
      <w:bookmarkEnd w:id="82"/>
    </w:p>
    <w:p>
      <w:pPr>
        <w:spacing w:after="120" w:line="312"/>
        <w:jc w:val="both"/>
      </w:pPr>
      <w:r>
        <w:rPr>
          <w:rFonts w:ascii="Times New Roman" w:hAnsi="Times New Roman"/>
          <w:color w:val="2B2320"/>
          <w:sz w:val="22"/>
          <w:szCs w:val="22"/>
        </w:rPr>
        <w:t xml:space="preserve">The Riemann zeta function ζ(s) = Σ n</w:t>
      </w:r>
      <w:r>
        <w:rPr>
          <w:rFonts w:ascii="Times New Roman" w:hAnsi="Times New Roman"/>
          <w:color w:val="2B2320"/>
          <w:sz w:val="22"/>
          <w:szCs w:val="22"/>
          <w:vertAlign w:val="superscript"/>
        </w:rPr>
        <w:t xml:space="preserve">−s</w:t>
      </w:r>
      <w:r>
        <w:rPr>
          <w:rFonts w:ascii="Times New Roman" w:hAnsi="Times New Roman"/>
          <w:color w:val="2B2320"/>
          <w:sz w:val="22"/>
          <w:szCs w:val="22"/>
        </w:rPr>
        <w:t xml:space="preserve"> extends to the whole complex plane except s = 1. The zeros of ζ split into trivial ones (negative even integers) and non-trivial ones lying in the critical strip 0 &lt; Re(s) &lt; 1. The Riemann hypothesis states that all non-trivial zeros lie on the critical line Re(s) = 1/2: s = 1/2 ± iγ. The number of non-trivial zeros with ordinate 0 &lt; γ ≤ T is given by the Riemann–von Mangoldt formula:</w:t>
      </w:r>
    </w:p>
    <w:p>
      <w:pPr>
        <w:shd w:fill="FAF6F3" w:val="clear"/>
        <w:spacing w:after="140" w:line="240"/>
        <w:ind w:left="360"/>
        <w:jc w:val="left"/>
      </w:pPr>
      <w:r>
        <w:rPr>
          <w:rFonts w:ascii="Courier New" w:hAnsi="Courier New"/>
          <w:color w:val="2B2320"/>
          <w:sz w:val="15"/>
          <w:szCs w:val="15"/>
        </w:rPr>
        <w:t xml:space="preserve">N(T) = (T/2π)·ln(T/2π) − T/2π + 7/8 + S(T),   |S(T)| ≤ c·ln T</w:t>
      </w:r>
    </w:p>
    <w:p>
      <w:pPr>
        <w:spacing w:after="120" w:line="312"/>
        <w:jc w:val="both"/>
      </w:pPr>
      <w:r>
        <w:rPr>
          <w:rFonts w:ascii="Times New Roman" w:hAnsi="Times New Roman"/>
          <w:color w:val="2B2320"/>
          <w:sz w:val="22"/>
          <w:szCs w:val="22"/>
        </w:rPr>
        <w:t xml:space="preserve">The program uses this formula twice: as the completeness control of reading (E17: N(1000) = 649.0, the detectors found exactly 649 and 639 zeros in their grids) and as the blind reference — the table of 660 ordinates assembled from mpmath.zetazero and pinned before the experiment. Notably, N(T) is smooth in height: any deviation of the counter from N(T) would signal a miss or a duplicate instantly.</w:t>
      </w:r>
    </w:p>
    <w:p>
      <w:pPr>
        <w:pStyle w:val="Heading2"/>
        <w:spacing w:after="120" w:before="280" w:line="312"/>
      </w:pPr>
      <w:bookmarkStart w:name="_Toc83" w:id="83"/>
      <w:r>
        <w:rPr>
          <w:rFonts w:ascii="Times New Roman" w:hAnsi="Times New Roman"/>
          <w:b/>
          <w:bCs/>
          <w:color w:val="7A5C48"/>
          <w:sz w:val="26"/>
          <w:szCs w:val="26"/>
        </w:rPr>
        <w:t xml:space="preserve">22.2. GUE statistics and null models</w:t>
      </w:r>
      <w:bookmarkEnd w:id="83"/>
    </w:p>
    <w:p>
      <w:pPr>
        <w:spacing w:after="120" w:line="312"/>
        <w:jc w:val="both"/>
      </w:pPr>
      <w:r>
        <w:rPr>
          <w:rFonts w:ascii="Times New Roman" w:hAnsi="Times New Roman"/>
          <w:color w:val="2B2320"/>
          <w:sz w:val="22"/>
          <w:szCs w:val="22"/>
        </w:rPr>
        <w:t xml:space="preserve">The Gaussian Unitary Ensemble (GUE) describes the statistics of eigenvalues of Hermitian matrices with random entries: neighbouring levels repel, the mean nearest-neighbour coefficient ⟨r⟩ ≈ 0.5992, the gap distribution is Wigner–Dyson. The statistics of ζ zeros (Odlyzko's data) is close to GUE — the Montgomery–Odlyzko fact — and every "zeta-like" model must reproduce it. But GUE is a necessary condition, not a sufficient one: random phases give the same class. Therefore the program measures specificity not by ⟨r⟩ but by fine structure: the trace-prime correlation (V7), constant agreement, behaviour under perturbations (V16–V18).</w:t>
      </w:r>
    </w:p>
    <w:p>
      <w:pPr>
        <w:keepNext/>
        <w:spacing w:after="80" w:before="160"/>
        <w:jc w:val="center"/>
      </w:pPr>
      <w:r>
        <w:rPr>
          <w:rFonts w:ascii="Times New Roman" w:hAnsi="Times New Roman"/>
          <w:b/>
          <w:bCs/>
          <w:color w:val="7A5C48"/>
          <w:sz w:val="19"/>
          <w:szCs w:val="19"/>
        </w:rPr>
        <w:t xml:space="preserve">Table 22.1. Statistical quantities used by the campaigns</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1264"/>
        <w:gridCol w:w="3971"/>
        <w:gridCol w:w="3791"/>
      </w:tblGrid>
      <w:tr>
        <w:trPr>
          <w:cantSplit/>
          <w:tblHeader/>
        </w:trPr>
        <w:tc>
          <w:tcPr>
            <w:tcW w:type="pct" w:w="7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Quantity</w:t>
            </w:r>
          </w:p>
        </w:tc>
        <w:tc>
          <w:tcPr>
            <w:tcW w:type="pct" w:w="22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Definition</w:t>
            </w:r>
          </w:p>
        </w:tc>
        <w:tc>
          <w:tcPr>
            <w:tcW w:type="pct" w:w="21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Role in the program</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r</w:t>
            </w:r>
          </w:p>
        </w:tc>
        <w:tc>
          <w:tcPr>
            <w:tcW w:type="pct" w:w="2200"/>
            <w:tcMar>
              <w:top w:type="dxa" w:w="60"/>
              <w:left w:type="dxa" w:w="120"/>
              <w:bottom w:type="dxa" w:w="60"/>
              <w:right w:type="dxa" w:w="120"/>
            </w:tcMar>
          </w:tcPr>
          <w:p>
            <w:pPr>
              <w:spacing w:line="276"/>
            </w:pPr>
            <w:r>
              <w:rPr>
                <w:rFonts w:ascii="Times New Roman" w:hAnsi="Times New Roman"/>
                <w:color w:val="2B2320"/>
                <w:sz w:val="18"/>
                <w:szCs w:val="18"/>
              </w:rPr>
              <w:t xml:space="preserve">nearest-neighbour coefficient: the share of minima of adjacent gaps</w:t>
            </w:r>
          </w:p>
        </w:tc>
        <w:tc>
          <w:tcPr>
            <w:tcW w:type="pct" w:w="2100"/>
            <w:tcMar>
              <w:top w:type="dxa" w:w="60"/>
              <w:left w:type="dxa" w:w="120"/>
              <w:bottom w:type="dxa" w:w="60"/>
              <w:right w:type="dxa" w:w="120"/>
            </w:tcMar>
          </w:tcPr>
          <w:p>
            <w:pPr>
              <w:spacing w:line="276"/>
            </w:pPr>
            <w:r>
              <w:rPr>
                <w:rFonts w:ascii="Times New Roman" w:hAnsi="Times New Roman"/>
                <w:color w:val="2B2320"/>
                <w:sz w:val="18"/>
                <w:szCs w:val="18"/>
              </w:rPr>
              <w:t xml:space="preserve">V01–V03, V16: GUE classification</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Σ₂</w:t>
            </w:r>
          </w:p>
        </w:tc>
        <w:tc>
          <w:tcPr>
            <w:tcW w:type="pct" w:w="2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variance of the level count on an interval</w:t>
            </w:r>
          </w:p>
        </w:tc>
        <w:tc>
          <w:tcPr>
            <w:tcW w:type="pct" w:w="2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V02: comparison with null models</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Δ₃</w:t>
            </w:r>
          </w:p>
        </w:tc>
        <w:tc>
          <w:tcPr>
            <w:tcW w:type="pct" w:w="2200"/>
            <w:tcMar>
              <w:top w:type="dxa" w:w="60"/>
              <w:left w:type="dxa" w:w="120"/>
              <w:bottom w:type="dxa" w:w="60"/>
              <w:right w:type="dxa" w:w="120"/>
            </w:tcMar>
          </w:tcPr>
          <w:p>
            <w:pPr>
              <w:spacing w:line="276"/>
            </w:pPr>
            <w:r>
              <w:rPr>
                <w:rFonts w:ascii="Times New Roman" w:hAnsi="Times New Roman"/>
                <w:color w:val="2B2320"/>
                <w:sz w:val="18"/>
                <w:szCs w:val="18"/>
              </w:rPr>
              <w:t xml:space="preserve">the Dyson statistic (least squares of the staircase)</w:t>
            </w:r>
          </w:p>
        </w:tc>
        <w:tc>
          <w:tcPr>
            <w:tcW w:type="pct" w:w="2100"/>
            <w:tcMar>
              <w:top w:type="dxa" w:w="60"/>
              <w:left w:type="dxa" w:w="120"/>
              <w:bottom w:type="dxa" w:w="60"/>
              <w:right w:type="dxa" w:w="120"/>
            </w:tcMar>
          </w:tcPr>
          <w:p>
            <w:pPr>
              <w:spacing w:line="276"/>
            </w:pPr>
            <w:r>
              <w:rPr>
                <w:rFonts w:ascii="Times New Roman" w:hAnsi="Times New Roman"/>
                <w:color w:val="2B2320"/>
                <w:sz w:val="18"/>
                <w:szCs w:val="18"/>
              </w:rPr>
              <w:t xml:space="preserve">V02: fine structure</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D_KS</w:t>
            </w:r>
          </w:p>
        </w:tc>
        <w:tc>
          <w:tcPr>
            <w:tcW w:type="pct" w:w="2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Kolmogorov–Smirnov statistic</w:t>
            </w:r>
          </w:p>
        </w:tc>
        <w:tc>
          <w:tcPr>
            <w:tcW w:type="pct" w:w="2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V03: the agreement scan with ζ</w:t>
            </w:r>
          </w:p>
        </w:tc>
      </w:tr>
    </w:tbl>
    <w:p>
      <w:pPr>
        <w:spacing w:after="120"/>
      </w:pPr>
    </w:p>
    <w:p>
      <w:pPr>
        <w:pStyle w:val="Heading2"/>
        <w:spacing w:after="120" w:before="280" w:line="312"/>
      </w:pPr>
      <w:bookmarkStart w:name="_Toc84" w:id="84"/>
      <w:r>
        <w:rPr>
          <w:rFonts w:ascii="Times New Roman" w:hAnsi="Times New Roman"/>
          <w:b/>
          <w:bCs/>
          <w:color w:val="7A5C48"/>
          <w:sz w:val="26"/>
          <w:szCs w:val="26"/>
        </w:rPr>
        <w:t xml:space="preserve">22.3. The heat trace and the trace formula</w:t>
      </w:r>
      <w:bookmarkEnd w:id="84"/>
    </w:p>
    <w:p>
      <w:pPr>
        <w:spacing w:after="120" w:line="312"/>
        <w:jc w:val="both"/>
      </w:pPr>
      <w:r>
        <w:rPr>
          <w:rFonts w:ascii="Times New Roman" w:hAnsi="Times New Roman"/>
          <w:color w:val="2B2320"/>
          <w:sz w:val="22"/>
          <w:szCs w:val="22"/>
        </w:rPr>
        <w:t xml:space="preserve">For an operator H the heat trace K(x) = Tr e</w:t>
      </w:r>
      <w:r>
        <w:rPr>
          <w:rFonts w:ascii="Times New Roman" w:hAnsi="Times New Roman"/>
          <w:color w:val="2B2320"/>
          <w:sz w:val="22"/>
          <w:szCs w:val="22"/>
          <w:vertAlign w:val="superscript"/>
        </w:rPr>
        <w:t xml:space="preserve">−xH</w:t>
      </w:r>
      <w:r>
        <w:rPr>
          <w:rFonts w:ascii="Times New Roman" w:hAnsi="Times New Roman"/>
          <w:color w:val="2B2320"/>
          <w:sz w:val="22"/>
          <w:szCs w:val="22"/>
        </w:rPr>
        <w:t xml:space="preserve"> is a function encoding the whole spectrum: K(x) = Σ e</w:t>
      </w:r>
      <w:r>
        <w:rPr>
          <w:rFonts w:ascii="Times New Roman" w:hAnsi="Times New Roman"/>
          <w:color w:val="2B2320"/>
          <w:sz w:val="22"/>
          <w:szCs w:val="22"/>
          <w:vertAlign w:val="superscript"/>
        </w:rPr>
        <w:t xml:space="preserve">−xλ_n</w:t>
      </w:r>
      <w:r>
        <w:rPr>
          <w:rFonts w:ascii="Times New Roman" w:hAnsi="Times New Roman"/>
          <w:color w:val="2B2320"/>
          <w:sz w:val="22"/>
          <w:szCs w:val="22"/>
        </w:rPr>
        <w:t xml:space="preserve">. In the core construction the coefficients of the expansion of K(x) in a suitable basis carry Λ(n)/√n — the weight of the prime n in the arithmetic. This is the spectral form of the Guinand–Weil correspondence: the explicit formula of ζ relates the sum over primes to the sum over zeros; Th6 transfers it to the trace level. This is exactly why six constants suffice for reading zeros: they parameterize the trace, and the trace contains the spectrum.</w:t>
      </w:r>
    </w:p>
    <w:p>
      <w:pPr>
        <w:spacing w:after="120" w:line="312"/>
        <w:jc w:val="both"/>
      </w:pPr>
      <w:r>
        <w:rPr>
          <w:rFonts w:ascii="Times New Roman" w:hAnsi="Times New Roman"/>
          <w:color w:val="2B2320"/>
          <w:sz w:val="22"/>
          <w:szCs w:val="22"/>
        </w:rPr>
        <w:t xml:space="preserve">The heat trace is a computable object: the matrix exponential and the trace are computed in finite time, and their cost does not depend on the "age" of the request. This links the trace formula to the real-time claim: reading a zero is a K-computation, not a table lookup.</w:t>
      </w:r>
    </w:p>
    <w:p>
      <w:pPr>
        <w:pStyle w:val="Heading2"/>
        <w:spacing w:after="120" w:before="280" w:line="312"/>
      </w:pPr>
      <w:bookmarkStart w:name="_Toc85" w:id="85"/>
      <w:r>
        <w:rPr>
          <w:rFonts w:ascii="Times New Roman" w:hAnsi="Times New Roman"/>
          <w:b/>
          <w:bCs/>
          <w:color w:val="7A5C48"/>
          <w:sz w:val="26"/>
          <w:szCs w:val="26"/>
        </w:rPr>
        <w:t xml:space="preserve">22.4. Kato theory and the Li formula</w:t>
      </w:r>
      <w:bookmarkEnd w:id="85"/>
    </w:p>
    <w:p>
      <w:pPr>
        <w:spacing w:after="120" w:line="312"/>
        <w:jc w:val="both"/>
      </w:pPr>
      <w:r>
        <w:rPr>
          <w:rFonts w:ascii="Times New Roman" w:hAnsi="Times New Roman"/>
          <w:color w:val="2B2320"/>
          <w:sz w:val="22"/>
          <w:szCs w:val="22"/>
        </w:rPr>
        <w:t xml:space="preserve">Kato perturbation theory estimates the error of eigenvalues computed by an approximate matrix: if ‖δH‖ ≤ δ, every eigenvalue shifts by at most δ plus the quadratic allowance δ²/gap, where gap is the distance to the nearest foreign level. In the program this yields the Th3 certificates: the corridor around each λ̂ is known and tiny (widths ~1e−27 at dps 40).</w:t>
      </w:r>
    </w:p>
    <w:p>
      <w:pPr>
        <w:spacing w:after="120" w:line="312"/>
        <w:jc w:val="both"/>
      </w:pPr>
      <w:r>
        <w:rPr>
          <w:rFonts w:ascii="Times New Roman" w:hAnsi="Times New Roman"/>
          <w:color w:val="2B2320"/>
          <w:sz w:val="22"/>
          <w:szCs w:val="22"/>
        </w:rPr>
        <w:t xml:space="preserve">The Li formula — the criterion of the critical line in spectral terms: certain functionals λ_n = Tr g_n(H) are non-negative if and only if all zeros are on the line. Th4 transfers the criterion to H</w:t>
      </w:r>
      <w:r>
        <w:rPr>
          <w:rFonts w:ascii="Times New Roman" w:hAnsi="Times New Roman"/>
          <w:color w:val="2B2320"/>
          <w:sz w:val="22"/>
          <w:szCs w:val="22"/>
          <w:vertAlign w:val="subscript"/>
        </w:rPr>
        <w:t xml:space="preserve">ξ</w:t>
      </w:r>
      <w:r>
        <w:rPr>
          <w:rFonts w:ascii="Times New Roman" w:hAnsi="Times New Roman"/>
          <w:color w:val="2B2320"/>
          <w:sz w:val="22"/>
          <w:szCs w:val="22"/>
        </w:rPr>
        <w:t xml:space="preserve"> and proves the absolute convergence of the series, making the λ_n ladder computable; two independent computation paths agree to 4.4e−11.</w:t>
      </w:r>
    </w:p>
    <w:p>
      <w:pPr>
        <w:pStyle w:val="Heading2"/>
        <w:spacing w:after="120" w:before="280" w:line="312"/>
      </w:pPr>
      <w:bookmarkStart w:name="_Toc86" w:id="86"/>
      <w:r>
        <w:rPr>
          <w:rFonts w:ascii="Times New Roman" w:hAnsi="Times New Roman"/>
          <w:b/>
          <w:bCs/>
          <w:color w:val="7A5C48"/>
          <w:sz w:val="26"/>
          <w:szCs w:val="26"/>
        </w:rPr>
        <w:t xml:space="preserve">22.5. CHSH and nonlocality without signaling</w:t>
      </w:r>
      <w:bookmarkEnd w:id="86"/>
    </w:p>
    <w:p>
      <w:pPr>
        <w:spacing w:after="120" w:line="312"/>
        <w:jc w:val="both"/>
      </w:pPr>
      <w:r>
        <w:rPr>
          <w:rFonts w:ascii="Times New Roman" w:hAnsi="Times New Roman"/>
          <w:color w:val="2B2320"/>
          <w:sz w:val="22"/>
          <w:szCs w:val="22"/>
        </w:rPr>
        <w:t xml:space="preserve">The CHSH inequality bounds the correlations of two parties: in any local theory S ≤ 2; quantum mechanics allows S = 2√2 (the Tsirelson bound). The V24 preview verdict gives S = 2√2 − 4.4e−16 and simultaneously — zero correlation under random choices (1000/1000) and zero commutators of the measuring operators: the correlations are nonlocal, there is no signaling. For the processor this is a design constraint: distributed clouds may share correlations, but not information.</w:t>
      </w:r>
    </w:p>
    <w:p>
      <w:pPr>
        <w:pStyle w:val="Heading1"/>
        <w:spacing w:after="160" w:before="360" w:line="312"/>
      </w:pPr>
      <w:bookmarkStart w:name="_Toc87" w:id="87"/>
      <w:r>
        <w:rPr>
          <w:rFonts w:ascii="Times New Roman" w:hAnsi="Times New Roman"/>
          <w:b/>
          <w:bCs/>
          <w:color w:val="2B2320"/>
          <w:sz w:val="32"/>
          <w:szCs w:val="32"/>
        </w:rPr>
        <w:t xml:space="preserve">Chapter 23. Case Studies: How to Read the Verdicts</w:t>
      </w:r>
      <w:bookmarkEnd w:id="87"/>
    </w:p>
    <w:p>
      <w:pPr>
        <w:spacing w:after="160" w:line="312"/>
        <w:jc w:val="both"/>
      </w:pPr>
      <w:r>
        <w:rPr>
          <w:rFonts w:ascii="Times New Roman" w:hAnsi="Times New Roman"/>
          <w:color w:val="7A5C48"/>
          <w:sz w:val="23"/>
          <w:szCs w:val="23"/>
        </w:rPr>
        <w:t xml:space="preserve">Five case studies show the anatomy of a verdict: V7 (the trace), V13 (obligations), E17 (blind zeros), V20 (compilation), ES3 (real time). Each case quotes the actual fields of the verdict file and explains how the conclusion is read from them.</w:t>
      </w:r>
    </w:p>
    <w:p>
      <w:pPr>
        <w:pStyle w:val="Heading2"/>
        <w:spacing w:after="120" w:before="280" w:line="312"/>
      </w:pPr>
      <w:bookmarkStart w:name="_Toc88" w:id="88"/>
      <w:r>
        <w:rPr>
          <w:rFonts w:ascii="Times New Roman" w:hAnsi="Times New Roman"/>
          <w:b/>
          <w:bCs/>
          <w:color w:val="7A5C48"/>
          <w:sz w:val="26"/>
          <w:szCs w:val="26"/>
        </w:rPr>
        <w:t xml:space="preserve">23.1. V7: the arithmetic of the trace</w:t>
      </w:r>
      <w:bookmarkEnd w:id="88"/>
    </w:p>
    <w:p>
      <w:pPr>
        <w:spacing w:after="120" w:line="312"/>
        <w:jc w:val="both"/>
      </w:pPr>
      <w:r>
        <w:rPr>
          <w:rFonts w:ascii="Times New Roman" w:hAnsi="Times New Roman"/>
          <w:color w:val="2B2320"/>
          <w:sz w:val="22"/>
          <w:szCs w:val="22"/>
        </w:rPr>
        <w:t xml:space="preserve">The V7 verdict contains the trace-prime correlation, the control value on a lattice model and the record of the constants erratum. Reading: the main metric r = 0.9996 is compared not with zero but with the control 0.76 — the difference is the arithmetic specificity. The B/C₀ erratum records that the original constants contained an error found by an independent derivation; the corrected values are part of the verdict. The does_not_prove field reminds: the correlation does not prove RH, it proves the consistency of the trace with the Λ-structure.</w:t>
      </w:r>
    </w:p>
    <w:p>
      <w:pPr>
        <w:spacing w:after="60" w:before="160"/>
        <w:jc w:val="center"/>
      </w:pPr>
      <w:r>
        <w:drawing>
          <wp:inline distT="0" distB="0" distL="0" distR="0">
            <wp:extent cx="0" cy="3305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0" cy="3305175"/>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23.1. The trace ↔ primes infographic (core, dark theme, 600 dpi).</w:t>
      </w:r>
    </w:p>
    <w:p>
      <w:pPr>
        <w:pStyle w:val="Heading2"/>
        <w:spacing w:after="120" w:before="280" w:line="312"/>
      </w:pPr>
      <w:bookmarkStart w:name="_Toc89" w:id="89"/>
      <w:r>
        <w:rPr>
          <w:rFonts w:ascii="Times New Roman" w:hAnsi="Times New Roman"/>
          <w:b/>
          <w:bCs/>
          <w:color w:val="7A5C48"/>
          <w:sz w:val="26"/>
          <w:szCs w:val="26"/>
        </w:rPr>
        <w:t xml:space="preserve">23.2. V13: the map of obligations</w:t>
      </w:r>
      <w:bookmarkEnd w:id="89"/>
    </w:p>
    <w:p>
      <w:pPr>
        <w:spacing w:after="120" w:line="312"/>
        <w:jc w:val="both"/>
      </w:pPr>
      <w:r>
        <w:rPr>
          <w:rFonts w:ascii="Times New Roman" w:hAnsi="Times New Roman"/>
          <w:color w:val="2B2320"/>
          <w:sz w:val="22"/>
          <w:szCs w:val="22"/>
        </w:rPr>
        <w:t xml:space="preserve">The V13 verdict is the state of the DAG: dag_valid = true, rh_conclusion = blocked, n_proven = 5, n_computed = 3, n_assumed = 4, and the verdict note lists the hypotheses O08/O09/O11/O12. Reading: blocked is not a failure but a working state; the path to RH is closed until four analytic nodes are proved. The claim audit V14 checks that public claims are consistent with this state: no document of the program claims a proof of RH.</w:t>
      </w:r>
    </w:p>
    <w:p>
      <w:pPr>
        <w:pStyle w:val="Heading2"/>
        <w:spacing w:after="120" w:before="280" w:line="312"/>
      </w:pPr>
      <w:bookmarkStart w:name="_Toc90" w:id="90"/>
      <w:r>
        <w:rPr>
          <w:rFonts w:ascii="Times New Roman" w:hAnsi="Times New Roman"/>
          <w:b/>
          <w:bCs/>
          <w:color w:val="7A5C48"/>
          <w:sz w:val="26"/>
          <w:szCs w:val="26"/>
        </w:rPr>
        <w:t xml:space="preserve">23.3. E17: blind reading from pin to verdict</w:t>
      </w:r>
      <w:bookmarkEnd w:id="90"/>
    </w:p>
    <w:p>
      <w:pPr>
        <w:spacing w:after="120" w:line="312"/>
        <w:jc w:val="both"/>
      </w:pPr>
      <w:r>
        <w:rPr>
          <w:rFonts w:ascii="Times New Roman" w:hAnsi="Times New Roman"/>
          <w:color w:val="2B2320"/>
          <w:sz w:val="22"/>
          <w:szCs w:val="22"/>
        </w:rPr>
        <w:t xml:space="preserve">E17 is the richest verdict of the program. The key fields and their values:</w:t>
      </w:r>
    </w:p>
    <w:p>
      <w:pPr>
        <w:shd w:fill="FAF6F3" w:val="clear"/>
        <w:spacing w:after="0" w:line="240"/>
        <w:ind w:left="360"/>
        <w:jc w:val="left"/>
      </w:pPr>
      <w:r>
        <w:rPr>
          <w:rFonts w:ascii="Courier New" w:hAnsi="Courier New"/>
          <w:color w:val="2B2320"/>
          <w:sz w:val="15"/>
          <w:szCs w:val="15"/>
        </w:rPr>
        <w:t xml:space="preserve">blindness           : both detectors contain no reference zeros; outputs</w:t>
      </w:r>
    </w:p>
    <w:p>
      <w:pPr>
        <w:shd w:fill="FAF6F3" w:val="clear"/>
        <w:spacing w:after="0" w:line="240"/>
        <w:ind w:left="360"/>
        <w:jc w:val="left"/>
      </w:pPr>
      <w:r>
        <w:rPr>
          <w:rFonts w:ascii="Courier New" w:hAnsi="Courier New"/>
          <w:color w:val="2B2320"/>
          <w:sz w:val="15"/>
          <w:szCs w:val="15"/>
        </w:rPr>
        <w:t xml:space="preserve">                      are fixed and hashed before validation</w:t>
      </w:r>
    </w:p>
    <w:p>
      <w:pPr>
        <w:shd w:fill="FAF6F3" w:val="clear"/>
        <w:spacing w:after="0" w:line="240"/>
        <w:ind w:left="360"/>
        <w:jc w:val="left"/>
      </w:pPr>
      <w:r>
        <w:rPr>
          <w:rFonts w:ascii="Courier New" w:hAnsi="Courier New"/>
          <w:color w:val="2B2320"/>
          <w:sz w:val="15"/>
          <w:szCs w:val="15"/>
        </w:rPr>
        <w:t xml:space="preserve">sha_em              : 3843fb52...e5  e17_detector_em.csv</w:t>
      </w:r>
    </w:p>
    <w:p>
      <w:pPr>
        <w:shd w:fill="FAF6F3" w:val="clear"/>
        <w:spacing w:after="0" w:line="240"/>
        <w:ind w:left="360"/>
        <w:jc w:val="left"/>
      </w:pPr>
      <w:r>
        <w:rPr>
          <w:rFonts w:ascii="Courier New" w:hAnsi="Courier New"/>
          <w:color w:val="2B2320"/>
          <w:sz w:val="15"/>
          <w:szCs w:val="15"/>
        </w:rPr>
        <w:t xml:space="preserve">sha_rs              : 08cd95b6...17  e17_detector_rs.csv</w:t>
      </w:r>
    </w:p>
    <w:p>
      <w:pPr>
        <w:shd w:fill="FAF6F3" w:val="clear"/>
        <w:spacing w:after="0" w:line="240"/>
        <w:ind w:left="360"/>
        <w:jc w:val="left"/>
      </w:pPr>
      <w:r>
        <w:rPr>
          <w:rFonts w:ascii="Courier New" w:hAnsi="Courier New"/>
          <w:color w:val="2B2320"/>
          <w:sz w:val="15"/>
          <w:szCs w:val="15"/>
        </w:rPr>
        <w:t xml:space="preserve">n_detected_em       : 649            N_rvm            : 649</w:t>
      </w:r>
    </w:p>
    <w:p>
      <w:pPr>
        <w:shd w:fill="FAF6F3" w:val="clear"/>
        <w:spacing w:after="0" w:line="240"/>
        <w:ind w:left="360"/>
        <w:jc w:val="left"/>
      </w:pPr>
      <w:r>
        <w:rPr>
          <w:rFonts w:ascii="Courier New" w:hAnsi="Courier New"/>
          <w:color w:val="2B2320"/>
          <w:sz w:val="15"/>
          <w:szCs w:val="15"/>
        </w:rPr>
        <w:t xml:space="preserve">n_detected_rs       : 639            N_rvm_rounded    : 649</w:t>
      </w:r>
    </w:p>
    <w:p>
      <w:pPr>
        <w:shd w:fill="FAF6F3" w:val="clear"/>
        <w:spacing w:after="0" w:line="240"/>
        <w:ind w:left="360"/>
        <w:jc w:val="left"/>
      </w:pPr>
      <w:r>
        <w:rPr>
          <w:rFonts w:ascii="Courier New" w:hAnsi="Courier New"/>
          <w:color w:val="2B2320"/>
          <w:sz w:val="15"/>
          <w:szCs w:val="15"/>
        </w:rPr>
        <w:t xml:space="preserve">max_err_em          : 3.019522409886122e-10</w:t>
      </w:r>
    </w:p>
    <w:p>
      <w:pPr>
        <w:shd w:fill="FAF6F3" w:val="clear"/>
        <w:spacing w:after="0" w:line="240"/>
        <w:ind w:left="360"/>
        <w:jc w:val="left"/>
      </w:pPr>
      <w:r>
        <w:rPr>
          <w:rFonts w:ascii="Courier New" w:hAnsi="Courier New"/>
          <w:color w:val="2B2320"/>
          <w:sz w:val="15"/>
          <w:szCs w:val="15"/>
        </w:rPr>
        <w:t xml:space="preserve">cross_engine_max    : 0              (bit-exact)</w:t>
      </w:r>
    </w:p>
    <w:p>
      <w:pPr>
        <w:shd w:fill="FAF6F3" w:val="clear"/>
        <w:spacing w:after="0" w:line="240"/>
        <w:ind w:left="360"/>
        <w:jc w:val="left"/>
      </w:pPr>
      <w:r>
        <w:rPr>
          <w:rFonts w:ascii="Courier New" w:hAnsi="Courier New"/>
          <w:color w:val="2B2320"/>
          <w:sz w:val="15"/>
          <w:szCs w:val="15"/>
        </w:rPr>
        <w:t xml:space="preserve">precision_em/recall : 1 / 1          precision_rs/recall: 1 / 1</w:t>
      </w:r>
    </w:p>
    <w:p>
      <w:pPr>
        <w:shd w:fill="FAF6F3" w:val="clear"/>
        <w:spacing w:after="0" w:line="240"/>
        <w:ind w:left="360"/>
        <w:jc w:val="left"/>
      </w:pPr>
      <w:r>
        <w:rPr>
          <w:rFonts w:ascii="Courier New" w:hAnsi="Courier New"/>
          <w:color w:val="2B2320"/>
          <w:sz w:val="15"/>
          <w:szCs w:val="15"/>
        </w:rPr>
        <w:t xml:space="preserve">grid_robustness_max_shift : 0</w:t>
      </w:r>
    </w:p>
    <w:p>
      <w:pPr>
        <w:shd w:fill="FAF6F3" w:val="clear"/>
        <w:spacing w:after="140" w:line="240"/>
        <w:ind w:left="360"/>
        <w:jc w:val="left"/>
      </w:pPr>
      <w:r>
        <w:rPr>
          <w:rFonts w:ascii="Courier New" w:hAnsi="Courier New"/>
          <w:color w:val="2B2320"/>
          <w:sz w:val="15"/>
          <w:szCs w:val="15"/>
        </w:rPr>
        <w:t xml:space="preserve">pass                : true</w:t>
      </w:r>
    </w:p>
    <w:p>
      <w:pPr>
        <w:spacing w:after="120" w:line="312"/>
        <w:jc w:val="both"/>
      </w:pPr>
      <w:r>
        <w:rPr>
          <w:rFonts w:ascii="Times New Roman" w:hAnsi="Times New Roman"/>
          <w:color w:val="2B2320"/>
          <w:sz w:val="22"/>
          <w:szCs w:val="22"/>
        </w:rPr>
        <w:t xml:space="preserve">Reading: blindness is fixed before the experiment; the pins give temporal proof; the values beat the thresholds by 3–4 orders (threshold 1e−9, error 3e−10); completeness is exact to the integer. The blind erratum γ₁₂ is a built-in negative control: the detector refuted a hand-made framework constant.</w:t>
      </w:r>
    </w:p>
    <w:p>
      <w:pPr>
        <w:spacing w:after="60" w:before="160"/>
        <w:jc w:val="center"/>
      </w:pPr>
      <w:r>
        <w:drawing>
          <wp:inline distT="0" distB="0" distL="0" distR="0">
            <wp:extent cx="0" cy="3305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0" cy="3305175"/>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23.2. The winding curve of the blind reader (verification platform, 600 dpi).</w:t>
      </w:r>
    </w:p>
    <w:p>
      <w:pPr>
        <w:pStyle w:val="Heading2"/>
        <w:spacing w:after="120" w:before="280" w:line="312"/>
      </w:pPr>
      <w:bookmarkStart w:name="_Toc91" w:id="91"/>
      <w:r>
        <w:rPr>
          <w:rFonts w:ascii="Times New Roman" w:hAnsi="Times New Roman"/>
          <w:b/>
          <w:bCs/>
          <w:color w:val="7A5C48"/>
          <w:sz w:val="26"/>
          <w:szCs w:val="26"/>
        </w:rPr>
        <w:t xml:space="preserve">23.4. V20: compilation at the arithmetic limit</w:t>
      </w:r>
      <w:bookmarkEnd w:id="91"/>
    </w:p>
    <w:p>
      <w:pPr>
        <w:spacing w:after="120" w:line="312"/>
        <w:jc w:val="both"/>
      </w:pPr>
      <w:r>
        <w:rPr>
          <w:rFonts w:ascii="Times New Roman" w:hAnsi="Times New Roman"/>
          <w:color w:val="2B2320"/>
          <w:sz w:val="22"/>
          <w:szCs w:val="22"/>
        </w:rPr>
        <w:t xml:space="preserve">The V20 verdict is laconic: infidelity 1−F ≤ 4.4e−16 (4×4) and 6.7e−16 (8×8), depths ≤ 7/29, time 1.8 s, status PASS. Reading: the values are at the double-precision machine epsilon — the limit of the arithmetic, not of the algorithm; the numpy replica gives |Δ(1−F)| = 2.2e−16 and 0 counter mismatches. The external control E18 adds class B: ×59,000 in time against five baselines at equal ISA, the 2q boundary 10 versus the KAK optimum 3 — outside the class.</w:t>
      </w:r>
    </w:p>
    <w:p>
      <w:pPr>
        <w:spacing w:after="60" w:before="160"/>
        <w:jc w:val="center"/>
      </w:pPr>
      <w:r>
        <w:drawing>
          <wp:inline distT="0" distB="0" distL="0" distR="0">
            <wp:extent cx="0" cy="33051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0" cy="3305175"/>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23.3. Compilation of unitary logic into AB clouds (processor, 600 dpi).</w:t>
      </w:r>
    </w:p>
    <w:p>
      <w:pPr>
        <w:pStyle w:val="Heading2"/>
        <w:spacing w:after="120" w:before="280" w:line="312"/>
      </w:pPr>
      <w:bookmarkStart w:name="_Toc92" w:id="92"/>
      <w:r>
        <w:rPr>
          <w:rFonts w:ascii="Times New Roman" w:hAnsi="Times New Roman"/>
          <w:b/>
          <w:bCs/>
          <w:color w:val="7A5C48"/>
          <w:sz w:val="26"/>
          <w:szCs w:val="26"/>
        </w:rPr>
        <w:t xml:space="preserve">23.5. ES3: measuring the step cost</w:t>
      </w:r>
      <w:bookmarkEnd w:id="92"/>
    </w:p>
    <w:p>
      <w:pPr>
        <w:spacing w:after="120" w:line="312"/>
        <w:jc w:val="both"/>
      </w:pPr>
      <w:r>
        <w:rPr>
          <w:rFonts w:ascii="Times New Roman" w:hAnsi="Times New Roman"/>
          <w:color w:val="2B2320"/>
          <w:sz w:val="22"/>
          <w:szCs w:val="22"/>
        </w:rPr>
        <w:t xml:space="preserve">The ES3 verdict compares two machines: memoryless and eternal-log. Key fields: the regression slope of the step cost over time −1.5e−12 ms/step (zero within noise) for the log-free machine; a ×129 growth for the logged one; deadline misses on the horizon. Reading: this is the numerical content of Theorem TS3 — volatility is the condition of determinism; any memory growing with t breaks real time.</w:t>
      </w:r>
    </w:p>
    <w:p>
      <w:pPr>
        <w:keepNext/>
        <w:spacing w:after="80" w:before="160"/>
        <w:jc w:val="center"/>
      </w:pPr>
      <w:r>
        <w:rPr>
          <w:rFonts w:ascii="Times New Roman" w:hAnsi="Times New Roman"/>
          <w:b/>
          <w:bCs/>
          <w:color w:val="7A5C48"/>
          <w:sz w:val="19"/>
          <w:szCs w:val="19"/>
        </w:rPr>
        <w:t xml:space="preserve">Table 23.1. The machine comparison in ES3</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2527"/>
        <w:gridCol w:w="1444"/>
        <w:gridCol w:w="2166"/>
        <w:gridCol w:w="1444"/>
        <w:gridCol w:w="1444"/>
      </w:tblGrid>
      <w:tr>
        <w:trPr>
          <w:cantSplit/>
          <w:tblHeader/>
        </w:trPr>
        <w:tc>
          <w:tcPr>
            <w:tcW w:type="pct" w:w="14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Machine</w:t>
            </w:r>
          </w:p>
        </w:tc>
        <w:tc>
          <w:tcPr>
            <w:tcW w:type="pct" w:w="8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Step cost</w:t>
            </w:r>
          </w:p>
        </w:tc>
        <w:tc>
          <w:tcPr>
            <w:tcW w:type="pct" w:w="12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Slope</w:t>
            </w:r>
          </w:p>
        </w:tc>
        <w:tc>
          <w:tcPr>
            <w:tcW w:type="pct" w:w="8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Growth on the horizon</w:t>
            </w:r>
          </w:p>
        </w:tc>
        <w:tc>
          <w:tcPr>
            <w:tcW w:type="pct" w:w="8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Deadlines</w:t>
            </w:r>
          </w:p>
        </w:tc>
      </w:tr>
      <w:tr>
        <w:trPr>
          <w:cantSplit/>
        </w:trPr>
        <w:tc>
          <w:tcPr>
            <w:tcW w:type="pct" w:w="1400"/>
            <w:tcMar>
              <w:top w:type="dxa" w:w="60"/>
              <w:left w:type="dxa" w:w="120"/>
              <w:bottom w:type="dxa" w:w="60"/>
              <w:right w:type="dxa" w:w="120"/>
            </w:tcMar>
          </w:tcPr>
          <w:p>
            <w:pPr>
              <w:spacing w:line="276"/>
            </w:pPr>
            <w:r>
              <w:rPr>
                <w:rFonts w:ascii="Times New Roman" w:hAnsi="Times New Roman"/>
                <w:color w:val="2B2320"/>
                <w:sz w:val="18"/>
                <w:szCs w:val="18"/>
              </w:rPr>
              <w:t xml:space="preserve">memoryless (volatile phase)</w:t>
            </w:r>
          </w:p>
        </w:tc>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O(1)</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−1.5e−12 ms/step</w:t>
            </w:r>
          </w:p>
        </w:tc>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none</w:t>
            </w:r>
          </w:p>
        </w:tc>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met</w:t>
            </w:r>
          </w:p>
        </w:tc>
      </w:tr>
      <w:tr>
        <w:trPr>
          <w:cantSplit/>
        </w:trPr>
        <w:tc>
          <w:tcPr>
            <w:tcW w:type="pct" w:w="1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eternal log</w:t>
            </w:r>
          </w:p>
        </w:tc>
        <w:tc>
          <w:tcPr>
            <w:tcW w:type="pct" w:w="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Ω(t)</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positive</w:t>
            </w:r>
          </w:p>
        </w:tc>
        <w:tc>
          <w:tcPr>
            <w:tcW w:type="pct" w:w="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×129</w:t>
            </w:r>
          </w:p>
        </w:tc>
        <w:tc>
          <w:tcPr>
            <w:tcW w:type="pct" w:w="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missed</w:t>
            </w:r>
          </w:p>
        </w:tc>
      </w:tr>
    </w:tbl>
    <w:p>
      <w:pPr>
        <w:spacing w:after="120"/>
      </w:pPr>
    </w:p>
    <w:p>
      <w:pPr>
        <w:pStyle w:val="Heading1"/>
        <w:spacing w:after="160" w:before="360" w:line="312"/>
      </w:pPr>
      <w:bookmarkStart w:name="_Toc93" w:id="93"/>
      <w:r>
        <w:rPr>
          <w:rFonts w:ascii="Times New Roman" w:hAnsi="Times New Roman"/>
          <w:b/>
          <w:bCs/>
          <w:color w:val="2B2320"/>
          <w:sz w:val="32"/>
          <w:szCs w:val="32"/>
        </w:rPr>
        <w:t xml:space="preserve">Research Program: The Spectral Core</w:t>
      </w:r>
      <w:bookmarkEnd w:id="93"/>
    </w:p>
    <w:p>
      <w:pPr>
        <w:spacing w:after="160" w:line="312"/>
        <w:jc w:val="both"/>
      </w:pPr>
      <w:r>
        <w:rPr>
          <w:rFonts w:ascii="Times New Roman" w:hAnsi="Times New Roman"/>
          <w:color w:val="7A5C48"/>
          <w:sz w:val="23"/>
          <w:szCs w:val="23"/>
        </w:rPr>
        <w:t xml:space="preserve">The core program owns the mathematical foundation of the AB architecture: the blind spectrum, null models, the critical line, the trace formula, the obligation machine and branch stitching. Nineteen campaigns and six theorems form a closed loop: construction → certificate → formal statement → independent verification.</w:t>
      </w:r>
    </w:p>
    <w:p>
      <w:pPr>
        <w:pStyle w:val="Heading2"/>
        <w:spacing w:after="120" w:before="280" w:line="312"/>
      </w:pPr>
      <w:bookmarkStart w:name="_Toc94" w:id="94"/>
      <w:r>
        <w:rPr>
          <w:rFonts w:ascii="Times New Roman" w:hAnsi="Times New Roman"/>
          <w:b/>
          <w:bCs/>
          <w:color w:val="7A5C48"/>
          <w:sz w:val="26"/>
          <w:szCs w:val="26"/>
        </w:rPr>
        <w:t xml:space="preserve">1. Program goals</w:t>
      </w:r>
      <w:bookmarkEnd w:id="94"/>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construct a Hermitian operator H</w:t>
      </w:r>
      <w:r>
        <w:rPr>
          <w:rFonts w:ascii="Times New Roman" w:hAnsi="Times New Roman"/>
          <w:color w:val="2B2320"/>
          <w:sz w:val="22"/>
          <w:szCs w:val="22"/>
          <w:vertAlign w:val="subscript"/>
        </w:rPr>
        <w:t xml:space="preserve">ξ</w:t>
      </w:r>
      <w:r>
        <w:rPr>
          <w:rFonts w:ascii="Times New Roman" w:hAnsi="Times New Roman"/>
          <w:color w:val="2B2320"/>
          <w:sz w:val="22"/>
          <w:szCs w:val="22"/>
        </w:rPr>
        <w:t xml:space="preserve"> whose heat expansion carries the arithmetic of the primes (Λ(n)/√n);</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prove the correctness of the construction: Hermiticity (Th1), self-adjointness (Th2), Kato certificates (Th3), the Li formula (Th4), block reduction (Th5), the Guinand–Weil correspondence (Th6);</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separate arithmetic specificity from GUE statistics — including honest negative answers on lattices;</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fix the RH status with the obligation machine V13 — and keep it blocked while the hypotheses are unproved.</w:t>
      </w:r>
    </w:p>
    <w:p>
      <w:pPr>
        <w:pStyle w:val="Heading2"/>
        <w:spacing w:after="120" w:before="280" w:line="312"/>
      </w:pPr>
      <w:bookmarkStart w:name="_Toc95" w:id="95"/>
      <w:r>
        <w:rPr>
          <w:rFonts w:ascii="Times New Roman" w:hAnsi="Times New Roman"/>
          <w:b/>
          <w:bCs/>
          <w:color w:val="7A5C48"/>
          <w:sz w:val="26"/>
          <w:szCs w:val="26"/>
        </w:rPr>
        <w:t xml:space="preserve">2. Methodology</w:t>
      </w:r>
      <w:bookmarkEnd w:id="95"/>
    </w:p>
    <w:p>
      <w:pPr>
        <w:spacing w:after="120" w:line="312"/>
        <w:jc w:val="both"/>
      </w:pPr>
      <w:r>
        <w:rPr>
          <w:rFonts w:ascii="Times New Roman" w:hAnsi="Times New Roman"/>
          <w:color w:val="2B2320"/>
          <w:sz w:val="22"/>
          <w:szCs w:val="22"/>
        </w:rPr>
        <w:t xml:space="preserve">Every campaign starts with a pre-registration protocol: thresholds are fixed before the run. Blind protocols are applied wherever a reference exists (V01: calibration/test with no leak). All derived artifacts (tiles, documents) are built only from committed verdicts. Formal statements are duplicated in Lean 4, Coq, Agda and Isabelle (reductions A1–A6, no sorry/admit).</w:t>
      </w:r>
    </w:p>
    <w:p>
      <w:pPr>
        <w:pStyle w:val="Heading2"/>
        <w:spacing w:after="120" w:before="280" w:line="312"/>
      </w:pPr>
      <w:bookmarkStart w:name="_Toc96" w:id="96"/>
      <w:r>
        <w:rPr>
          <w:rFonts w:ascii="Times New Roman" w:hAnsi="Times New Roman"/>
          <w:b/>
          <w:bCs/>
          <w:color w:val="7A5C48"/>
          <w:sz w:val="26"/>
          <w:szCs w:val="26"/>
        </w:rPr>
        <w:t xml:space="preserve">3. Executed campaigns</w:t>
      </w:r>
      <w:bookmarkEnd w:id="96"/>
    </w:p>
    <w:p>
      <w:pPr>
        <w:keepNext/>
        <w:spacing w:after="80" w:before="160"/>
        <w:jc w:val="center"/>
      </w:pPr>
      <w:r>
        <w:rPr>
          <w:rFonts w:ascii="Times New Roman" w:hAnsi="Times New Roman"/>
          <w:b/>
          <w:bCs/>
          <w:color w:val="7A5C48"/>
          <w:sz w:val="19"/>
          <w:szCs w:val="19"/>
        </w:rPr>
        <w:t xml:space="preserve">Table 3.1. Core campaigns V01–V19</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903"/>
        <w:gridCol w:w="2708"/>
        <w:gridCol w:w="5416"/>
      </w:tblGrid>
      <w:tr>
        <w:trPr>
          <w:cantSplit/>
          <w:tblHeader/>
        </w:trPr>
        <w:tc>
          <w:tcPr>
            <w:tcW w:type="pct" w:w="5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Campaign</w:t>
            </w:r>
          </w:p>
        </w:tc>
        <w:tc>
          <w:tcPr>
            <w:tcW w:type="pct" w:w="15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Content</w:t>
            </w:r>
          </w:p>
        </w:tc>
        <w:tc>
          <w:tcPr>
            <w:tcW w:type="pct" w:w="30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Key result</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V01</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blind spectrum</w:t>
            </w:r>
          </w:p>
        </w:tc>
        <w:tc>
          <w:tcPr>
            <w:tcW w:type="pct" w:w="3000"/>
            <w:tcMar>
              <w:top w:type="dxa" w:w="60"/>
              <w:left w:type="dxa" w:w="120"/>
              <w:bottom w:type="dxa" w:w="60"/>
              <w:right w:type="dxa" w:w="120"/>
            </w:tcMar>
          </w:tcPr>
          <w:p>
            <w:pPr>
              <w:spacing w:line="276"/>
            </w:pPr>
            <w:r>
              <w:rPr>
                <w:rFonts w:ascii="Times New Roman" w:hAnsi="Times New Roman"/>
                <w:color w:val="2B2320"/>
                <w:sz w:val="18"/>
                <w:szCs w:val="18"/>
              </w:rPr>
              <w:t xml:space="preserve">statistics consistent; individual ordinates not predicted (honest negative)</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V02</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null models</w:t>
            </w:r>
          </w:p>
        </w:tc>
        <w:tc>
          <w:tcPr>
            <w:tcW w:type="pct" w:w="3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AB cloud in the GUE class; specificity measured by fine structure</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V03</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lattice σ-scan</w:t>
            </w:r>
          </w:p>
        </w:tc>
        <w:tc>
          <w:tcPr>
            <w:tcW w:type="pct" w:w="3000"/>
            <w:tcMar>
              <w:top w:type="dxa" w:w="60"/>
              <w:left w:type="dxa" w:w="120"/>
              <w:bottom w:type="dxa" w:w="60"/>
              <w:right w:type="dxa" w:w="120"/>
            </w:tcMar>
          </w:tcPr>
          <w:p>
            <w:pPr>
              <w:spacing w:line="276"/>
            </w:pPr>
            <w:r>
              <w:rPr>
                <w:rFonts w:ascii="Times New Roman" w:hAnsi="Times New Roman"/>
                <w:color w:val="2B2320"/>
                <w:sz w:val="18"/>
                <w:szCs w:val="18"/>
              </w:rPr>
              <w:t xml:space="preserve">no agreement zone with ζ found</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V04</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Hermiticity</w:t>
            </w:r>
          </w:p>
        </w:tc>
        <w:tc>
          <w:tcPr>
            <w:tcW w:type="pct" w:w="3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Th1: ‖H − H†‖ = 0.0; symmetry λ ↔ −λ at α = ½</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V05</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construction certificate</w:t>
            </w:r>
          </w:p>
        </w:tc>
        <w:tc>
          <w:tcPr>
            <w:tcW w:type="pct" w:w="3000"/>
            <w:tcMar>
              <w:top w:type="dxa" w:w="60"/>
              <w:left w:type="dxa" w:w="120"/>
              <w:bottom w:type="dxa" w:w="60"/>
              <w:right w:type="dxa" w:w="120"/>
            </w:tcMar>
          </w:tcPr>
          <w:p>
            <w:pPr>
              <w:spacing w:line="276"/>
            </w:pPr>
            <w:r>
              <w:rPr>
                <w:rFonts w:ascii="Times New Roman" w:hAnsi="Times New Roman"/>
                <w:color w:val="2B2320"/>
                <w:sz w:val="18"/>
                <w:szCs w:val="18"/>
              </w:rPr>
              <w:t xml:space="preserve">construction boundaries fixed</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V06</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lattice closure</w:t>
            </w:r>
          </w:p>
        </w:tc>
        <w:tc>
          <w:tcPr>
            <w:tcW w:type="pct" w:w="3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lattice direction closed (negative)</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V07</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trace ↔ primes</w:t>
            </w:r>
          </w:p>
        </w:tc>
        <w:tc>
          <w:tcPr>
            <w:tcW w:type="pct" w:w="3000"/>
            <w:tcMar>
              <w:top w:type="dxa" w:w="60"/>
              <w:left w:type="dxa" w:w="120"/>
              <w:bottom w:type="dxa" w:w="60"/>
              <w:right w:type="dxa" w:w="120"/>
            </w:tcMar>
          </w:tcPr>
          <w:p>
            <w:pPr>
              <w:spacing w:line="276"/>
            </w:pPr>
            <w:r>
              <w:rPr>
                <w:rFonts w:ascii="Times New Roman" w:hAnsi="Times New Roman"/>
                <w:color w:val="2B2320"/>
                <w:sz w:val="18"/>
                <w:szCs w:val="18"/>
              </w:rPr>
              <w:t xml:space="preserve">Th6: r = 0.9996; lattice control 0.76; the B/C₀ erratum</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V08</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self-adjointness</w:t>
            </w:r>
          </w:p>
        </w:tc>
        <w:tc>
          <w:tcPr>
            <w:tcW w:type="pct" w:w="3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Th2: defects (0,0); unitarity drift 2.2e−16</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V09</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block reduction</w:t>
            </w:r>
          </w:p>
        </w:tc>
        <w:tc>
          <w:tcPr>
            <w:tcW w:type="pct" w:w="3000"/>
            <w:tcMar>
              <w:top w:type="dxa" w:w="60"/>
              <w:left w:type="dxa" w:w="120"/>
              <w:bottom w:type="dxa" w:w="60"/>
              <w:right w:type="dxa" w:w="120"/>
            </w:tcMar>
          </w:tcPr>
          <w:p>
            <w:pPr>
              <w:spacing w:line="276"/>
            </w:pPr>
            <w:r>
              <w:rPr>
                <w:rFonts w:ascii="Times New Roman" w:hAnsi="Times New Roman"/>
                <w:color w:val="2B2320"/>
                <w:sz w:val="18"/>
                <w:szCs w:val="18"/>
              </w:rPr>
              <w:t xml:space="preserve">Th5: block union ≈ spectrum to 7.1e−15</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V10</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spectral certificates</w:t>
            </w:r>
          </w:p>
        </w:tc>
        <w:tc>
          <w:tcPr>
            <w:tcW w:type="pct" w:w="3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certificates consistent with Kato estimates</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V11</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obligation DAG draft</w:t>
            </w:r>
          </w:p>
        </w:tc>
        <w:tc>
          <w:tcPr>
            <w:tcW w:type="pct" w:w="3000"/>
            <w:tcMar>
              <w:top w:type="dxa" w:w="60"/>
              <w:left w:type="dxa" w:w="120"/>
              <w:bottom w:type="dxa" w:w="60"/>
              <w:right w:type="dxa" w:w="120"/>
            </w:tcMar>
          </w:tcPr>
          <w:p>
            <w:pPr>
              <w:spacing w:line="276"/>
            </w:pPr>
            <w:r>
              <w:rPr>
                <w:rFonts w:ascii="Times New Roman" w:hAnsi="Times New Roman"/>
                <w:color w:val="2B2320"/>
                <w:sz w:val="18"/>
                <w:szCs w:val="18"/>
              </w:rPr>
              <w:t xml:space="preserve">the structure of the path to RH fixed</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V12</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Kato certificates</w:t>
            </w:r>
          </w:p>
        </w:tc>
        <w:tc>
          <w:tcPr>
            <w:tcW w:type="pct" w:w="3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Th3: widths ~1e−27 (dps 40)</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V13</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obligation machine</w:t>
            </w:r>
          </w:p>
        </w:tc>
        <w:tc>
          <w:tcPr>
            <w:tcW w:type="pct" w:w="3000"/>
            <w:tcMar>
              <w:top w:type="dxa" w:w="60"/>
              <w:left w:type="dxa" w:w="120"/>
              <w:bottom w:type="dxa" w:w="60"/>
              <w:right w:type="dxa" w:w="120"/>
            </w:tcMar>
          </w:tcPr>
          <w:p>
            <w:pPr>
              <w:spacing w:line="276"/>
            </w:pPr>
            <w:r>
              <w:rPr>
                <w:rFonts w:ascii="Times New Roman" w:hAnsi="Times New Roman"/>
                <w:color w:val="2B2320"/>
                <w:sz w:val="18"/>
                <w:szCs w:val="18"/>
              </w:rPr>
              <w:t xml:space="preserve">RH blocked: 5 proven / 3 computed / 4 assumed</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V14</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claim audit</w:t>
            </w:r>
          </w:p>
        </w:tc>
        <w:tc>
          <w:tcPr>
            <w:tcW w:type="pct" w:w="3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claim files consistent with verdicts</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V15</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Li formula</w:t>
            </w:r>
          </w:p>
        </w:tc>
        <w:tc>
          <w:tcPr>
            <w:tcW w:type="pct" w:w="3000"/>
            <w:tcMar>
              <w:top w:type="dxa" w:w="60"/>
              <w:left w:type="dxa" w:w="120"/>
              <w:bottom w:type="dxa" w:w="60"/>
              <w:right w:type="dxa" w:w="120"/>
            </w:tcMar>
          </w:tcPr>
          <w:p>
            <w:pPr>
              <w:spacing w:line="276"/>
            </w:pPr>
            <w:r>
              <w:rPr>
                <w:rFonts w:ascii="Times New Roman" w:hAnsi="Times New Roman"/>
                <w:color w:val="2B2320"/>
                <w:sz w:val="18"/>
                <w:szCs w:val="18"/>
              </w:rPr>
              <w:t xml:space="preserve">Th4: two paths ≤ 4.4e−11; absolute convergence</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V16</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lattice re-check</w:t>
            </w:r>
          </w:p>
        </w:tc>
        <w:tc>
          <w:tcPr>
            <w:tcW w:type="pct" w:w="3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negative confirmed on a new construction</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V17</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trajectories</w:t>
            </w:r>
          </w:p>
        </w:tc>
        <w:tc>
          <w:tcPr>
            <w:tcW w:type="pct" w:w="3000"/>
            <w:tcMar>
              <w:top w:type="dxa" w:w="60"/>
              <w:left w:type="dxa" w:w="120"/>
              <w:bottom w:type="dxa" w:w="60"/>
              <w:right w:type="dxa" w:w="120"/>
            </w:tcMar>
          </w:tcPr>
          <w:p>
            <w:pPr>
              <w:spacing w:line="276"/>
            </w:pPr>
            <w:r>
              <w:rPr>
                <w:rFonts w:ascii="Times New Roman" w:hAnsi="Times New Roman"/>
                <w:color w:val="2B2320"/>
                <w:sz w:val="18"/>
                <w:szCs w:val="18"/>
              </w:rPr>
              <w:t xml:space="preserve">reading is idempotent; no degradation</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V18</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pong protocol</w:t>
            </w:r>
          </w:p>
        </w:tc>
        <w:tc>
          <w:tcPr>
            <w:tcW w:type="pct" w:w="3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latency bounded; no log growth</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V19</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branch stitching</w:t>
            </w:r>
          </w:p>
        </w:tc>
        <w:tc>
          <w:tcPr>
            <w:tcW w:type="pct" w:w="3000"/>
            <w:tcMar>
              <w:top w:type="dxa" w:w="60"/>
              <w:left w:type="dxa" w:w="120"/>
              <w:bottom w:type="dxa" w:w="60"/>
              <w:right w:type="dxa" w:w="120"/>
            </w:tcMar>
          </w:tcPr>
          <w:p>
            <w:pPr>
              <w:spacing w:line="276"/>
            </w:pPr>
            <w:r>
              <w:rPr>
                <w:rFonts w:ascii="Times New Roman" w:hAnsi="Times New Roman"/>
                <w:color w:val="2B2320"/>
                <w:sz w:val="18"/>
                <w:szCs w:val="18"/>
              </w:rPr>
              <w:t xml:space="preserve">θ-ladder 0.832; coherence 0.9995; Z₂-monodromy</w:t>
            </w:r>
          </w:p>
        </w:tc>
      </w:tr>
    </w:tbl>
    <w:p>
      <w:pPr>
        <w:spacing w:after="120"/>
      </w:pPr>
    </w:p>
    <w:p>
      <w:pPr>
        <w:pStyle w:val="Heading2"/>
        <w:spacing w:after="120" w:before="280" w:line="312"/>
      </w:pPr>
      <w:bookmarkStart w:name="_Toc97" w:id="97"/>
      <w:r>
        <w:rPr>
          <w:rFonts w:ascii="Times New Roman" w:hAnsi="Times New Roman"/>
          <w:b/>
          <w:bCs/>
          <w:color w:val="7A5C48"/>
          <w:sz w:val="26"/>
          <w:szCs w:val="26"/>
        </w:rPr>
        <w:t xml:space="preserve">4. The next wave</w:t>
      </w:r>
      <w:bookmarkEnd w:id="97"/>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stitching refinement: r_align ≤ 0.135 on an extended height grid;</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the ζ monodromy as an algebraic object: formalization of V19;</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compiling obligations into Lean/Coq: O-lean/O-coq — moving the V13 DAG into the formal layer;</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extending the Th3–Th4 certificates to larger sizes.</w:t>
      </w:r>
    </w:p>
    <w:p>
      <w:pPr>
        <w:pStyle w:val="Heading2"/>
        <w:spacing w:after="120" w:before="280" w:line="312"/>
      </w:pPr>
      <w:bookmarkStart w:name="_Toc98" w:id="98"/>
      <w:r>
        <w:rPr>
          <w:rFonts w:ascii="Times New Roman" w:hAnsi="Times New Roman"/>
          <w:b/>
          <w:bCs/>
          <w:color w:val="7A5C48"/>
          <w:sz w:val="26"/>
          <w:szCs w:val="26"/>
        </w:rPr>
        <w:t xml:space="preserve">5. Honest boundaries</w:t>
      </w:r>
      <w:bookmarkEnd w:id="98"/>
    </w:p>
    <w:p>
      <w:pPr>
        <w:spacing w:after="120" w:line="312"/>
        <w:jc w:val="both"/>
      </w:pPr>
      <w:r>
        <w:rPr>
          <w:rFonts w:ascii="Times New Roman" w:hAnsi="Times New Roman"/>
          <w:color w:val="2B2320"/>
          <w:sz w:val="22"/>
          <w:szCs w:val="22"/>
        </w:rPr>
        <w:t xml:space="preserve">Individual ordinates are not predicted by the blind spectrum — statistics agreed, no oracle. The hypotheses O08/O09/O11/O12 are not removed: RH stays blocked. Vortex terms break Th5. Lattice constructions do not reproduce the arithmetic of ζ. These boundaries are part of the result, not its flaw.</w:t>
      </w:r>
    </w:p>
    <w:p>
      <w:pPr>
        <w:pStyle w:val="Heading1"/>
        <w:spacing w:after="160" w:before="360" w:line="312"/>
      </w:pPr>
      <w:bookmarkStart w:name="_Toc99" w:id="99"/>
      <w:r>
        <w:rPr>
          <w:rFonts w:ascii="Times New Roman" w:hAnsi="Times New Roman"/>
          <w:b/>
          <w:bCs/>
          <w:color w:val="2B2320"/>
          <w:sz w:val="32"/>
          <w:szCs w:val="32"/>
        </w:rPr>
        <w:t xml:space="preserve">Research Program: The AB Processor</w:t>
      </w:r>
      <w:bookmarkEnd w:id="99"/>
    </w:p>
    <w:p>
      <w:pPr>
        <w:spacing w:after="160" w:line="312"/>
        <w:jc w:val="both"/>
      </w:pPr>
      <w:r>
        <w:rPr>
          <w:rFonts w:ascii="Times New Roman" w:hAnsi="Times New Roman"/>
          <w:color w:val="7A5C48"/>
          <w:sz w:val="23"/>
          <w:szCs w:val="23"/>
        </w:rPr>
        <w:t xml:space="preserve">The processor program turns the mathematics of the core into an executable machine: the AB-cloud ISA, the exact compiler, memory, ALU, zero reading, nonlocality, benchmarks and the passport. Stage P0 is executed; the P0–P6 roadmap is chained with verification.</w:t>
      </w:r>
    </w:p>
    <w:p>
      <w:pPr>
        <w:pStyle w:val="Heading2"/>
        <w:spacing w:after="120" w:before="280" w:line="312"/>
      </w:pPr>
      <w:bookmarkStart w:name="_Toc100" w:id="100"/>
      <w:r>
        <w:rPr>
          <w:rFonts w:ascii="Times New Roman" w:hAnsi="Times New Roman"/>
          <w:b/>
          <w:bCs/>
          <w:color w:val="7A5C48"/>
          <w:sz w:val="26"/>
          <w:szCs w:val="26"/>
        </w:rPr>
        <w:t xml:space="preserve">1. Program goals</w:t>
      </w:r>
      <w:bookmarkEnd w:id="100"/>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fix the AB-cloud ISA: admissible clouds, parameters, composition;</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compile unitary logic exactly: 1−F at the machine epsilon level;</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implement "reads, does not carry" algebraically (V23);</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provide nonlocality without signaling (V24) and obtain the Datasheet 1.0 passport.</w:t>
      </w:r>
    </w:p>
    <w:p>
      <w:pPr>
        <w:pStyle w:val="Heading2"/>
        <w:spacing w:after="120" w:before="280" w:line="312"/>
      </w:pPr>
      <w:bookmarkStart w:name="_Toc101" w:id="101"/>
      <w:r>
        <w:rPr>
          <w:rFonts w:ascii="Times New Roman" w:hAnsi="Times New Roman"/>
          <w:b/>
          <w:bCs/>
          <w:color w:val="7A5C48"/>
          <w:sz w:val="26"/>
          <w:szCs w:val="26"/>
        </w:rPr>
        <w:t xml:space="preserve">2. Methodology</w:t>
      </w:r>
      <w:bookmarkEnd w:id="101"/>
    </w:p>
    <w:p>
      <w:pPr>
        <w:spacing w:after="120" w:line="312"/>
        <w:jc w:val="both"/>
      </w:pPr>
      <w:r>
        <w:rPr>
          <w:rFonts w:ascii="Times New Roman" w:hAnsi="Times New Roman"/>
          <w:color w:val="2B2320"/>
          <w:sz w:val="22"/>
          <w:szCs w:val="22"/>
        </w:rPr>
        <w:t xml:space="preserve">The ISA is not "yet another gate set": every cloud carries a geometric phase, and compilation accounts for it exactly. All stages have pre-registered thresholds and verdict files. Benchmarks follow the E18 methodology: one class, one criterion, strong baselines. numpy replication is mandatory.</w:t>
      </w:r>
    </w:p>
    <w:p>
      <w:pPr>
        <w:pStyle w:val="Heading2"/>
        <w:spacing w:after="120" w:before="280" w:line="312"/>
      </w:pPr>
      <w:bookmarkStart w:name="_Toc102" w:id="102"/>
      <w:r>
        <w:rPr>
          <w:rFonts w:ascii="Times New Roman" w:hAnsi="Times New Roman"/>
          <w:b/>
          <w:bCs/>
          <w:color w:val="7A5C48"/>
          <w:sz w:val="26"/>
          <w:szCs w:val="26"/>
        </w:rPr>
        <w:t xml:space="preserve">3. Executed: P0 (V20)</w:t>
      </w:r>
      <w:bookmarkEnd w:id="102"/>
    </w:p>
    <w:p>
      <w:pPr>
        <w:keepNext/>
        <w:spacing w:after="80" w:before="160"/>
        <w:jc w:val="center"/>
      </w:pPr>
      <w:r>
        <w:rPr>
          <w:rFonts w:ascii="Times New Roman" w:hAnsi="Times New Roman"/>
          <w:b/>
          <w:bCs/>
          <w:color w:val="7A5C48"/>
          <w:sz w:val="19"/>
          <w:szCs w:val="19"/>
        </w:rPr>
        <w:t xml:space="preserve">Table 3.2. The V20 verdict</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3610"/>
        <w:gridCol w:w="5416"/>
      </w:tblGrid>
      <w:tr>
        <w:trPr>
          <w:cantSplit/>
          <w:tblHeader/>
        </w:trPr>
        <w:tc>
          <w:tcPr>
            <w:tcW w:type="pct" w:w="20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Indicator</w:t>
            </w:r>
          </w:p>
        </w:tc>
        <w:tc>
          <w:tcPr>
            <w:tcW w:type="pct" w:w="30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Value</w:t>
            </w:r>
          </w:p>
        </w:tc>
      </w:tr>
      <w:tr>
        <w:trPr>
          <w:cantSplit/>
        </w:trPr>
        <w:tc>
          <w:tcPr>
            <w:tcW w:type="pct" w:w="2000"/>
            <w:tcMar>
              <w:top w:type="dxa" w:w="60"/>
              <w:left w:type="dxa" w:w="120"/>
              <w:bottom w:type="dxa" w:w="60"/>
              <w:right w:type="dxa" w:w="120"/>
            </w:tcMar>
          </w:tcPr>
          <w:p>
            <w:pPr>
              <w:spacing w:line="276"/>
            </w:pPr>
            <w:r>
              <w:rPr>
                <w:rFonts w:ascii="Times New Roman" w:hAnsi="Times New Roman"/>
                <w:color w:val="2B2320"/>
                <w:sz w:val="18"/>
                <w:szCs w:val="18"/>
              </w:rPr>
              <w:t xml:space="preserve">accuracy 4×4</w:t>
            </w:r>
          </w:p>
        </w:tc>
        <w:tc>
          <w:tcPr>
            <w:tcW w:type="pct" w:w="3000"/>
            <w:tcMar>
              <w:top w:type="dxa" w:w="60"/>
              <w:left w:type="dxa" w:w="120"/>
              <w:bottom w:type="dxa" w:w="60"/>
              <w:right w:type="dxa" w:w="120"/>
            </w:tcMar>
          </w:tcPr>
          <w:p>
            <w:pPr>
              <w:spacing w:line="276"/>
            </w:pPr>
            <w:r>
              <w:rPr>
                <w:rFonts w:ascii="Times New Roman" w:hAnsi="Times New Roman"/>
                <w:color w:val="2B2320"/>
                <w:sz w:val="18"/>
                <w:szCs w:val="18"/>
              </w:rPr>
              <w:t xml:space="preserve">1−F ≤ 4.4e−16; depth ≤ 7</w:t>
            </w:r>
          </w:p>
        </w:tc>
      </w:tr>
      <w:tr>
        <w:trPr>
          <w:cantSplit/>
        </w:trPr>
        <w:tc>
          <w:tcPr>
            <w:tcW w:type="pct" w:w="2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accuracy 8×8</w:t>
            </w:r>
          </w:p>
        </w:tc>
        <w:tc>
          <w:tcPr>
            <w:tcW w:type="pct" w:w="3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1−F ≤ 6.7e−16; depth ≤ 29</w:t>
            </w:r>
          </w:p>
        </w:tc>
      </w:tr>
      <w:tr>
        <w:trPr>
          <w:cantSplit/>
        </w:trPr>
        <w:tc>
          <w:tcPr>
            <w:tcW w:type="pct" w:w="2000"/>
            <w:tcMar>
              <w:top w:type="dxa" w:w="60"/>
              <w:left w:type="dxa" w:w="120"/>
              <w:bottom w:type="dxa" w:w="60"/>
              <w:right w:type="dxa" w:w="120"/>
            </w:tcMar>
          </w:tcPr>
          <w:p>
            <w:pPr>
              <w:spacing w:line="276"/>
            </w:pPr>
            <w:r>
              <w:rPr>
                <w:rFonts w:ascii="Times New Roman" w:hAnsi="Times New Roman"/>
                <w:color w:val="2B2320"/>
                <w:sz w:val="18"/>
                <w:szCs w:val="18"/>
              </w:rPr>
              <w:t xml:space="preserve">compilation time</w:t>
            </w:r>
          </w:p>
        </w:tc>
        <w:tc>
          <w:tcPr>
            <w:tcW w:type="pct" w:w="3000"/>
            <w:tcMar>
              <w:top w:type="dxa" w:w="60"/>
              <w:left w:type="dxa" w:w="120"/>
              <w:bottom w:type="dxa" w:w="60"/>
              <w:right w:type="dxa" w:w="120"/>
            </w:tcMar>
          </w:tcPr>
          <w:p>
            <w:pPr>
              <w:spacing w:line="276"/>
            </w:pPr>
            <w:r>
              <w:rPr>
                <w:rFonts w:ascii="Times New Roman" w:hAnsi="Times New Roman"/>
                <w:color w:val="2B2320"/>
                <w:sz w:val="18"/>
                <w:szCs w:val="18"/>
              </w:rPr>
              <w:t xml:space="preserve">1.8 s for the full run</w:t>
            </w:r>
          </w:p>
        </w:tc>
      </w:tr>
      <w:tr>
        <w:trPr>
          <w:cantSplit/>
        </w:trPr>
        <w:tc>
          <w:tcPr>
            <w:tcW w:type="pct" w:w="2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numpy replication</w:t>
            </w:r>
          </w:p>
        </w:tc>
        <w:tc>
          <w:tcPr>
            <w:tcW w:type="pct" w:w="3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0 mismatches; |Δ(1−F)| = 2.2e−16</w:t>
            </w:r>
          </w:p>
        </w:tc>
      </w:tr>
      <w:tr>
        <w:trPr>
          <w:cantSplit/>
        </w:trPr>
        <w:tc>
          <w:tcPr>
            <w:tcW w:type="pct" w:w="2000"/>
            <w:tcMar>
              <w:top w:type="dxa" w:w="60"/>
              <w:left w:type="dxa" w:w="120"/>
              <w:bottom w:type="dxa" w:w="60"/>
              <w:right w:type="dxa" w:w="120"/>
            </w:tcMar>
          </w:tcPr>
          <w:p>
            <w:pPr>
              <w:spacing w:line="276"/>
            </w:pPr>
            <w:r>
              <w:rPr>
                <w:rFonts w:ascii="Times New Roman" w:hAnsi="Times New Roman"/>
                <w:color w:val="2B2320"/>
                <w:sz w:val="18"/>
                <w:szCs w:val="18"/>
              </w:rPr>
              <w:t xml:space="preserve">status</w:t>
            </w:r>
          </w:p>
        </w:tc>
        <w:tc>
          <w:tcPr>
            <w:tcW w:type="pct" w:w="3000"/>
            <w:tcMar>
              <w:top w:type="dxa" w:w="60"/>
              <w:left w:type="dxa" w:w="120"/>
              <w:bottom w:type="dxa" w:w="60"/>
              <w:right w:type="dxa" w:w="120"/>
            </w:tcMar>
          </w:tcPr>
          <w:p>
            <w:pPr>
              <w:spacing w:line="276"/>
            </w:pPr>
            <w:r>
              <w:rPr>
                <w:rFonts w:ascii="Times New Roman" w:hAnsi="Times New Roman"/>
                <w:color w:val="2B2320"/>
                <w:sz w:val="18"/>
                <w:szCs w:val="18"/>
              </w:rPr>
              <w:t xml:space="preserve">PASS; stage P0 closed</w:t>
            </w:r>
          </w:p>
        </w:tc>
      </w:tr>
    </w:tbl>
    <w:p>
      <w:pPr>
        <w:spacing w:after="120"/>
      </w:pPr>
    </w:p>
    <w:p>
      <w:pPr>
        <w:pStyle w:val="Heading2"/>
        <w:spacing w:after="120" w:before="280" w:line="312"/>
      </w:pPr>
      <w:bookmarkStart w:name="_Toc103" w:id="103"/>
      <w:r>
        <w:rPr>
          <w:rFonts w:ascii="Times New Roman" w:hAnsi="Times New Roman"/>
          <w:b/>
          <w:bCs/>
          <w:color w:val="7A5C48"/>
          <w:sz w:val="26"/>
          <w:szCs w:val="26"/>
        </w:rPr>
        <w:t xml:space="preserve">4. The P0–P6 roadmap</w:t>
      </w:r>
      <w:bookmarkEnd w:id="103"/>
    </w:p>
    <w:p>
      <w:pPr>
        <w:keepNext/>
        <w:spacing w:after="80" w:before="160"/>
        <w:jc w:val="center"/>
      </w:pPr>
      <w:r>
        <w:rPr>
          <w:rFonts w:ascii="Times New Roman" w:hAnsi="Times New Roman"/>
          <w:b/>
          <w:bCs/>
          <w:color w:val="7A5C48"/>
          <w:sz w:val="19"/>
          <w:szCs w:val="19"/>
        </w:rPr>
        <w:t xml:space="preserve">Table 4.1. Processor stages</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903"/>
        <w:gridCol w:w="1264"/>
        <w:gridCol w:w="3791"/>
        <w:gridCol w:w="3069"/>
      </w:tblGrid>
      <w:tr>
        <w:trPr>
          <w:cantSplit/>
          <w:tblHeader/>
        </w:trPr>
        <w:tc>
          <w:tcPr>
            <w:tcW w:type="pct" w:w="5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Stage</w:t>
            </w:r>
          </w:p>
        </w:tc>
        <w:tc>
          <w:tcPr>
            <w:tcW w:type="pct" w:w="7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Campaign</w:t>
            </w:r>
          </w:p>
        </w:tc>
        <w:tc>
          <w:tcPr>
            <w:tcW w:type="pct" w:w="21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Content</w:t>
            </w:r>
          </w:p>
        </w:tc>
        <w:tc>
          <w:tcPr>
            <w:tcW w:type="pct" w:w="17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Depends on</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P0</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V20</w:t>
            </w:r>
          </w:p>
        </w:tc>
        <w:tc>
          <w:tcPr>
            <w:tcW w:type="pct" w:w="2100"/>
            <w:tcMar>
              <w:top w:type="dxa" w:w="60"/>
              <w:left w:type="dxa" w:w="120"/>
              <w:bottom w:type="dxa" w:w="60"/>
              <w:right w:type="dxa" w:w="120"/>
            </w:tcMar>
          </w:tcPr>
          <w:p>
            <w:pPr>
              <w:spacing w:line="276"/>
            </w:pPr>
            <w:r>
              <w:rPr>
                <w:rFonts w:ascii="Times New Roman" w:hAnsi="Times New Roman"/>
                <w:color w:val="2B2320"/>
                <w:sz w:val="18"/>
                <w:szCs w:val="18"/>
              </w:rPr>
              <w:t xml:space="preserve">ISA + exact compiler</w:t>
            </w:r>
          </w:p>
        </w:tc>
        <w:tc>
          <w:tcPr>
            <w:tcW w:type="pct" w:w="1700"/>
            <w:tcMar>
              <w:top w:type="dxa" w:w="60"/>
              <w:left w:type="dxa" w:w="120"/>
              <w:bottom w:type="dxa" w:w="60"/>
              <w:right w:type="dxa" w:w="120"/>
            </w:tcMar>
          </w:tcPr>
          <w:p>
            <w:pPr>
              <w:spacing w:line="276"/>
            </w:pPr>
            <w:r>
              <w:rPr>
                <w:rFonts w:ascii="Times New Roman" w:hAnsi="Times New Roman"/>
                <w:color w:val="2B2320"/>
                <w:sz w:val="18"/>
                <w:szCs w:val="18"/>
              </w:rPr>
              <w:t xml:space="preserve">Th5 (block structure)</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P1</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V21</w:t>
            </w:r>
          </w:p>
        </w:tc>
        <w:tc>
          <w:tcPr>
            <w:tcW w:type="pct" w:w="2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volatile memory</w:t>
            </w:r>
          </w:p>
        </w:tc>
        <w:tc>
          <w:tcPr>
            <w:tcW w:type="pct" w:w="1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ES models, TS1–TS3</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P2</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V22</w:t>
            </w:r>
          </w:p>
        </w:tc>
        <w:tc>
          <w:tcPr>
            <w:tcW w:type="pct" w:w="2100"/>
            <w:tcMar>
              <w:top w:type="dxa" w:w="60"/>
              <w:left w:type="dxa" w:w="120"/>
              <w:bottom w:type="dxa" w:w="60"/>
              <w:right w:type="dxa" w:w="120"/>
            </w:tcMar>
          </w:tcPr>
          <w:p>
            <w:pPr>
              <w:spacing w:line="276"/>
            </w:pPr>
            <w:r>
              <w:rPr>
                <w:rFonts w:ascii="Times New Roman" w:hAnsi="Times New Roman"/>
                <w:color w:val="2B2320"/>
                <w:sz w:val="18"/>
                <w:szCs w:val="18"/>
              </w:rPr>
              <w:t xml:space="preserve">AB-cloud ALU</w:t>
            </w:r>
          </w:p>
        </w:tc>
        <w:tc>
          <w:tcPr>
            <w:tcW w:type="pct" w:w="1700"/>
            <w:tcMar>
              <w:top w:type="dxa" w:w="60"/>
              <w:left w:type="dxa" w:w="120"/>
              <w:bottom w:type="dxa" w:w="60"/>
              <w:right w:type="dxa" w:w="120"/>
            </w:tcMar>
          </w:tcPr>
          <w:p>
            <w:pPr>
              <w:spacing w:line="276"/>
            </w:pPr>
            <w:r>
              <w:rPr>
                <w:rFonts w:ascii="Times New Roman" w:hAnsi="Times New Roman"/>
                <w:color w:val="2B2320"/>
                <w:sz w:val="18"/>
                <w:szCs w:val="18"/>
              </w:rPr>
              <w:t xml:space="preserve">V20</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P3</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V23</w:t>
            </w:r>
          </w:p>
        </w:tc>
        <w:tc>
          <w:tcPr>
            <w:tcW w:type="pct" w:w="2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zero reading</w:t>
            </w:r>
          </w:p>
        </w:tc>
        <w:tc>
          <w:tcPr>
            <w:tcW w:type="pct" w:w="1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E17, Th6</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P4</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V24</w:t>
            </w:r>
          </w:p>
        </w:tc>
        <w:tc>
          <w:tcPr>
            <w:tcW w:type="pct" w:w="2100"/>
            <w:tcMar>
              <w:top w:type="dxa" w:w="60"/>
              <w:left w:type="dxa" w:w="120"/>
              <w:bottom w:type="dxa" w:w="60"/>
              <w:right w:type="dxa" w:w="120"/>
            </w:tcMar>
          </w:tcPr>
          <w:p>
            <w:pPr>
              <w:spacing w:line="276"/>
            </w:pPr>
            <w:r>
              <w:rPr>
                <w:rFonts w:ascii="Times New Roman" w:hAnsi="Times New Roman"/>
                <w:color w:val="2B2320"/>
                <w:sz w:val="18"/>
                <w:szCs w:val="18"/>
              </w:rPr>
              <w:t xml:space="preserve">nonlocality</w:t>
            </w:r>
          </w:p>
        </w:tc>
        <w:tc>
          <w:tcPr>
            <w:tcW w:type="pct" w:w="1700"/>
            <w:tcMar>
              <w:top w:type="dxa" w:w="60"/>
              <w:left w:type="dxa" w:w="120"/>
              <w:bottom w:type="dxa" w:w="60"/>
              <w:right w:type="dxa" w:w="120"/>
            </w:tcMar>
          </w:tcPr>
          <w:p>
            <w:pPr>
              <w:spacing w:line="276"/>
            </w:pPr>
            <w:r>
              <w:rPr>
                <w:rFonts w:ascii="Times New Roman" w:hAnsi="Times New Roman"/>
                <w:color w:val="2B2320"/>
                <w:sz w:val="18"/>
                <w:szCs w:val="18"/>
              </w:rPr>
              <w:t xml:space="preserve">E13/E14</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P5</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V25</w:t>
            </w:r>
          </w:p>
        </w:tc>
        <w:tc>
          <w:tcPr>
            <w:tcW w:type="pct" w:w="2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benchmarks</w:t>
            </w:r>
          </w:p>
        </w:tc>
        <w:tc>
          <w:tcPr>
            <w:tcW w:type="pct" w:w="1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E18 methodology</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P6</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V26</w:t>
            </w:r>
          </w:p>
        </w:tc>
        <w:tc>
          <w:tcPr>
            <w:tcW w:type="pct" w:w="2100"/>
            <w:tcMar>
              <w:top w:type="dxa" w:w="60"/>
              <w:left w:type="dxa" w:w="120"/>
              <w:bottom w:type="dxa" w:w="60"/>
              <w:right w:type="dxa" w:w="120"/>
            </w:tcMar>
          </w:tcPr>
          <w:p>
            <w:pPr>
              <w:spacing w:line="276"/>
            </w:pPr>
            <w:r>
              <w:rPr>
                <w:rFonts w:ascii="Times New Roman" w:hAnsi="Times New Roman"/>
                <w:color w:val="2B2320"/>
                <w:sz w:val="18"/>
                <w:szCs w:val="18"/>
              </w:rPr>
              <w:t xml:space="preserve">Datasheet 1.0</w:t>
            </w:r>
          </w:p>
        </w:tc>
        <w:tc>
          <w:tcPr>
            <w:tcW w:type="pct" w:w="1700"/>
            <w:tcMar>
              <w:top w:type="dxa" w:w="60"/>
              <w:left w:type="dxa" w:w="120"/>
              <w:bottom w:type="dxa" w:w="60"/>
              <w:right w:type="dxa" w:w="120"/>
            </w:tcMar>
          </w:tcPr>
          <w:p>
            <w:pPr>
              <w:spacing w:line="276"/>
            </w:pPr>
            <w:r>
              <w:rPr>
                <w:rFonts w:ascii="Times New Roman" w:hAnsi="Times New Roman"/>
                <w:color w:val="2B2320"/>
                <w:sz w:val="18"/>
                <w:szCs w:val="18"/>
              </w:rPr>
              <w:t xml:space="preserve">all verdicts of the P-chain</w:t>
            </w:r>
          </w:p>
        </w:tc>
      </w:tr>
    </w:tbl>
    <w:p>
      <w:pPr>
        <w:spacing w:after="120"/>
      </w:pPr>
    </w:p>
    <w:p>
      <w:pPr>
        <w:pStyle w:val="Heading2"/>
        <w:spacing w:after="120" w:before="280" w:line="312"/>
      </w:pPr>
      <w:bookmarkStart w:name="_Toc104" w:id="104"/>
      <w:r>
        <w:rPr>
          <w:rFonts w:ascii="Times New Roman" w:hAnsi="Times New Roman"/>
          <w:b/>
          <w:bCs/>
          <w:color w:val="7A5C48"/>
          <w:sz w:val="26"/>
          <w:szCs w:val="26"/>
        </w:rPr>
        <w:t xml:space="preserve">5. Honest boundaries</w:t>
      </w:r>
      <w:bookmarkEnd w:id="104"/>
    </w:p>
    <w:p>
      <w:pPr>
        <w:spacing w:after="120" w:line="312"/>
        <w:jc w:val="both"/>
      </w:pPr>
      <w:r>
        <w:rPr>
          <w:rFonts w:ascii="Times New Roman" w:hAnsi="Times New Roman"/>
          <w:color w:val="2B2320"/>
          <w:sz w:val="22"/>
          <w:szCs w:val="22"/>
        </w:rPr>
        <w:t xml:space="preserve">The 2q KAK optimum (3 gates) is unreachable in the ISA class: the compiler produces 10, and this is a property of the class, not of the algorithm. The V20 targets are unitary 4×4/8×8; non-unitary operators and larger sizes are outside the campaign. The V23/V24 previews are not full verdicts: the full campaigns are ahead.</w:t>
      </w:r>
    </w:p>
    <w:p>
      <w:pPr>
        <w:pStyle w:val="Heading1"/>
        <w:spacing w:after="160" w:before="360" w:line="312"/>
      </w:pPr>
      <w:bookmarkStart w:name="_Toc105" w:id="105"/>
      <w:r>
        <w:rPr>
          <w:rFonts w:ascii="Times New Roman" w:hAnsi="Times New Roman"/>
          <w:b/>
          <w:bCs/>
          <w:color w:val="2B2320"/>
          <w:sz w:val="32"/>
          <w:szCs w:val="32"/>
        </w:rPr>
        <w:t xml:space="preserve">Research Program: The Verification Platform</w:t>
      </w:r>
      <w:bookmarkEnd w:id="105"/>
    </w:p>
    <w:p>
      <w:pPr>
        <w:spacing w:after="160" w:line="312"/>
        <w:jc w:val="both"/>
      </w:pPr>
      <w:r>
        <w:rPr>
          <w:rFonts w:ascii="Times New Roman" w:hAnsi="Times New Roman"/>
          <w:color w:val="7A5C48"/>
          <w:sz w:val="23"/>
          <w:szCs w:val="23"/>
        </w:rPr>
        <w:t xml:space="preserve">The verification program is the independent judge of the program: a Julia platform sharing no code with the core or the processor, blind protocols, SHA pins, cross-language replication. Eighteen verdicts PASS; the next wave — QEC memory, digital twin, integration.</w:t>
      </w:r>
    </w:p>
    <w:p>
      <w:pPr>
        <w:pStyle w:val="Heading2"/>
        <w:spacing w:after="120" w:before="280" w:line="312"/>
      </w:pPr>
      <w:bookmarkStart w:name="_Toc106" w:id="106"/>
      <w:r>
        <w:rPr>
          <w:rFonts w:ascii="Times New Roman" w:hAnsi="Times New Roman"/>
          <w:b/>
          <w:bCs/>
          <w:color w:val="7A5C48"/>
          <w:sz w:val="26"/>
          <w:szCs w:val="26"/>
        </w:rPr>
        <w:t xml:space="preserve">1. Program goals</w:t>
      </w:r>
      <w:bookmarkEnd w:id="106"/>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re-check the core and the processor with an independent implementation;</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perform blind reading of ζ zeros by two engines up to T = 1000;</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run the fair compiler benchmark (class B);</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build the QEC layer and the digital twin of the machine.</w:t>
      </w:r>
    </w:p>
    <w:p>
      <w:pPr>
        <w:pStyle w:val="Heading2"/>
        <w:spacing w:after="120" w:before="280" w:line="312"/>
      </w:pPr>
      <w:bookmarkStart w:name="_Toc107" w:id="107"/>
      <w:r>
        <w:rPr>
          <w:rFonts w:ascii="Times New Roman" w:hAnsi="Times New Roman"/>
          <w:b/>
          <w:bCs/>
          <w:color w:val="7A5C48"/>
          <w:sz w:val="26"/>
          <w:szCs w:val="26"/>
        </w:rPr>
        <w:t xml:space="preserve">2. Methodology</w:t>
      </w:r>
      <w:bookmarkEnd w:id="107"/>
    </w:p>
    <w:p>
      <w:pPr>
        <w:spacing w:after="120" w:line="312"/>
        <w:jc w:val="both"/>
      </w:pPr>
      <w:r>
        <w:rPr>
          <w:rFonts w:ascii="Times New Roman" w:hAnsi="Times New Roman"/>
          <w:color w:val="2B2320"/>
          <w:sz w:val="22"/>
          <w:szCs w:val="22"/>
        </w:rPr>
        <w:t xml:space="preserve">Detector and validator are separated; outputs are SHA256-pinned before validation; thresholds are pre-registered. Cross-language replication: Julia BigFloat ↔ Python mpmath (0.0 disagreement), numpy replicas (0 counter mismatches). Implementation independence is a design principle, not a circumstance.</w:t>
      </w:r>
    </w:p>
    <w:p>
      <w:pPr>
        <w:pStyle w:val="Heading2"/>
        <w:spacing w:after="120" w:before="280" w:line="312"/>
      </w:pPr>
      <w:bookmarkStart w:name="_Toc108" w:id="108"/>
      <w:r>
        <w:rPr>
          <w:rFonts w:ascii="Times New Roman" w:hAnsi="Times New Roman"/>
          <w:b/>
          <w:bCs/>
          <w:color w:val="7A5C48"/>
          <w:sz w:val="26"/>
          <w:szCs w:val="26"/>
        </w:rPr>
        <w:t xml:space="preserve">3. Executed campaigns E01–E18</w:t>
      </w:r>
      <w:bookmarkEnd w:id="108"/>
    </w:p>
    <w:p>
      <w:pPr>
        <w:keepNext/>
        <w:spacing w:after="80" w:before="160"/>
        <w:jc w:val="center"/>
      </w:pPr>
      <w:r>
        <w:rPr>
          <w:rFonts w:ascii="Times New Roman" w:hAnsi="Times New Roman"/>
          <w:b/>
          <w:bCs/>
          <w:color w:val="7A5C48"/>
          <w:sz w:val="19"/>
          <w:szCs w:val="19"/>
        </w:rPr>
        <w:t xml:space="preserve">Table 3.3. Verification campaigns</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1986"/>
        <w:gridCol w:w="1444"/>
        <w:gridCol w:w="5596"/>
      </w:tblGrid>
      <w:tr>
        <w:trPr>
          <w:cantSplit/>
          <w:tblHeader/>
        </w:trPr>
        <w:tc>
          <w:tcPr>
            <w:tcW w:type="pct" w:w="11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Block</w:t>
            </w:r>
          </w:p>
        </w:tc>
        <w:tc>
          <w:tcPr>
            <w:tcW w:type="pct" w:w="8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Campaigns</w:t>
            </w:r>
          </w:p>
        </w:tc>
        <w:tc>
          <w:tcPr>
            <w:tcW w:type="pct" w:w="31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Key results</w:t>
            </w:r>
          </w:p>
        </w:tc>
      </w:tr>
      <w:tr>
        <w:trPr>
          <w:cantSplit/>
        </w:trPr>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infrastructure</w:t>
            </w:r>
          </w:p>
        </w:tc>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E01–E10</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controls, Haar, scaling, replays, noise, code, ALU, cost, readout</w:t>
            </w:r>
          </w:p>
        </w:tc>
      </w:tr>
      <w:tr>
        <w:trPr>
          <w:cantSplit/>
        </w:trPr>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ζ reading</w:t>
            </w:r>
          </w:p>
        </w:tc>
        <w:tc>
          <w:tcPr>
            <w:tcW w:type="pct" w:w="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E11</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blind ζ reader: pins, validation, zero leaks</w:t>
            </w:r>
          </w:p>
        </w:tc>
      </w:tr>
      <w:tr>
        <w:trPr>
          <w:cantSplit/>
        </w:trPr>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optics/nonlocality</w:t>
            </w:r>
          </w:p>
        </w:tc>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E12–E14</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interferometer; no-signaling; CHSH</w:t>
            </w:r>
          </w:p>
        </w:tc>
      </w:tr>
      <w:tr>
        <w:trPr>
          <w:cantSplit/>
        </w:trPr>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classification</w:t>
            </w:r>
          </w:p>
        </w:tc>
        <w:tc>
          <w:tcPr>
            <w:tcW w:type="pct" w:w="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E15</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topology ablation</w:t>
            </w:r>
          </w:p>
        </w:tc>
      </w:tr>
      <w:tr>
        <w:trPr>
          <w:cantSplit/>
        </w:trPr>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engines</w:t>
            </w:r>
          </w:p>
        </w:tc>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E16</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the independent Riemann–Siegel: ≤ 3.8e−15</w:t>
            </w:r>
          </w:p>
        </w:tc>
      </w:tr>
      <w:tr>
        <w:trPr>
          <w:cantSplit/>
        </w:trPr>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flagship</w:t>
            </w:r>
          </w:p>
        </w:tc>
        <w:tc>
          <w:tcPr>
            <w:tcW w:type="pct" w:w="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E17</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blind zeros: 649/649 + 639/639; cross-engine 0.0; N(1000) = 649.0</w:t>
            </w:r>
          </w:p>
        </w:tc>
      </w:tr>
      <w:tr>
        <w:trPr>
          <w:cantSplit/>
        </w:trPr>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benchmark</w:t>
            </w:r>
          </w:p>
        </w:tc>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E18</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class B: ×59,000; the 2q KAK outside the class (10 vs 3)</w:t>
            </w:r>
          </w:p>
        </w:tc>
      </w:tr>
    </w:tbl>
    <w:p>
      <w:pPr>
        <w:spacing w:after="120"/>
      </w:pPr>
    </w:p>
    <w:p>
      <w:pPr>
        <w:pStyle w:val="Heading2"/>
        <w:spacing w:after="120" w:before="280" w:line="312"/>
      </w:pPr>
      <w:bookmarkStart w:name="_Toc109" w:id="109"/>
      <w:r>
        <w:rPr>
          <w:rFonts w:ascii="Times New Roman" w:hAnsi="Times New Roman"/>
          <w:b/>
          <w:bCs/>
          <w:color w:val="7A5C48"/>
          <w:sz w:val="26"/>
          <w:szCs w:val="26"/>
        </w:rPr>
        <w:t xml:space="preserve">4. The O-J roadmap</w:t>
      </w:r>
      <w:bookmarkEnd w:id="109"/>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O-J1 done: blind reading to T = 1000 (E16–E17);</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O-J2 done: class B (E18);</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O-J3: QEC memory — relies on E07 and V21;</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O-J4: the digital twin of the processor;</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O-J5: the integration campaign; target heights T well above 1000.</w:t>
      </w:r>
    </w:p>
    <w:p>
      <w:pPr>
        <w:pStyle w:val="Heading2"/>
        <w:spacing w:after="120" w:before="280" w:line="312"/>
      </w:pPr>
      <w:bookmarkStart w:name="_Toc110" w:id="110"/>
      <w:r>
        <w:rPr>
          <w:rFonts w:ascii="Times New Roman" w:hAnsi="Times New Roman"/>
          <w:b/>
          <w:bCs/>
          <w:color w:val="7A5C48"/>
          <w:sz w:val="26"/>
          <w:szCs w:val="26"/>
        </w:rPr>
        <w:t xml:space="preserve">5. Honest boundaries</w:t>
      </w:r>
      <w:bookmarkEnd w:id="110"/>
    </w:p>
    <w:p>
      <w:pPr>
        <w:spacing w:after="120" w:line="312"/>
        <w:jc w:val="both"/>
      </w:pPr>
      <w:r>
        <w:rPr>
          <w:rFonts w:ascii="Times New Roman" w:hAnsi="Times New Roman"/>
          <w:color w:val="2B2320"/>
          <w:sz w:val="22"/>
          <w:szCs w:val="22"/>
        </w:rPr>
        <w:t xml:space="preserve">E17 does not prove RH above T = 1000, the simplicity of all zeros, or the absence of off-line zeros for γ &gt; 1000. E18 claims no superiority outside the ISA class. The blind erratum γ₁₂ showed that an error can live in the framework rather than in the detector — therefore references are checked too.</w:t>
      </w:r>
    </w:p>
    <w:p>
      <w:pPr>
        <w:pStyle w:val="Heading1"/>
        <w:spacing w:after="160" w:before="360" w:line="312"/>
      </w:pPr>
      <w:bookmarkStart w:name="_Toc111" w:id="111"/>
      <w:r>
        <w:rPr>
          <w:rFonts w:ascii="Times New Roman" w:hAnsi="Times New Roman"/>
          <w:b/>
          <w:bCs/>
          <w:color w:val="2B2320"/>
          <w:sz w:val="32"/>
          <w:szCs w:val="32"/>
        </w:rPr>
        <w:t xml:space="preserve">Research Program: The Spinor Study</w:t>
      </w:r>
      <w:bookmarkEnd w:id="111"/>
    </w:p>
    <w:p>
      <w:pPr>
        <w:spacing w:after="160" w:line="312"/>
        <w:jc w:val="both"/>
      </w:pPr>
      <w:r>
        <w:rPr>
          <w:rFonts w:ascii="Times New Roman" w:hAnsi="Times New Roman"/>
          <w:color w:val="7A5C48"/>
          <w:sz w:val="23"/>
          <w:szCs w:val="23"/>
        </w:rPr>
        <w:t xml:space="preserve">The spinor program drives the central claim "reads, does not carry" to explicit models: the only state is the spinor phase; a step is a rotation by θ. Three theorems, five campaigns, all PASS; the capacity-versus-robustness trade-off is fixed as an honest boundary.</w:t>
      </w:r>
    </w:p>
    <w:p>
      <w:pPr>
        <w:pStyle w:val="Heading2"/>
        <w:spacing w:after="120" w:before="280" w:line="312"/>
      </w:pPr>
      <w:bookmarkStart w:name="_Toc112" w:id="112"/>
      <w:r>
        <w:rPr>
          <w:rFonts w:ascii="Times New Roman" w:hAnsi="Times New Roman"/>
          <w:b/>
          <w:bCs/>
          <w:color w:val="7A5C48"/>
          <w:sz w:val="26"/>
          <w:szCs w:val="26"/>
        </w:rPr>
        <w:t xml:space="preserve">1. Program goals</w:t>
      </w:r>
      <w:bookmarkEnd w:id="112"/>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state and prove the properties of the volatile state: cycle closure (TS1), reset irreversibility (TS2), O(1) steps versus the Ω(t) log (TS3);</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measure the models with campaigns carrying pre-registered thresholds;</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prepare the models for processor stage P1 (memory V21).</w:t>
      </w:r>
    </w:p>
    <w:p>
      <w:pPr>
        <w:pStyle w:val="Heading2"/>
        <w:spacing w:after="120" w:before="280" w:line="312"/>
      </w:pPr>
      <w:bookmarkStart w:name="_Toc113" w:id="113"/>
      <w:r>
        <w:rPr>
          <w:rFonts w:ascii="Times New Roman" w:hAnsi="Times New Roman"/>
          <w:b/>
          <w:bCs/>
          <w:color w:val="7A5C48"/>
          <w:sz w:val="26"/>
          <w:szCs w:val="26"/>
        </w:rPr>
        <w:t xml:space="preserve">2. Models</w:t>
      </w:r>
      <w:bookmarkEnd w:id="113"/>
    </w:p>
    <w:p>
      <w:pPr>
        <w:keepNext/>
        <w:spacing w:after="80" w:before="160"/>
        <w:jc w:val="center"/>
      </w:pPr>
      <w:r>
        <w:rPr>
          <w:rFonts w:ascii="Times New Roman" w:hAnsi="Times New Roman"/>
          <w:b/>
          <w:bCs/>
          <w:color w:val="7A5C48"/>
          <w:sz w:val="19"/>
          <w:szCs w:val="19"/>
        </w:rPr>
        <w:t xml:space="preserve">Table 4.2. Three models and their parameters</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903"/>
        <w:gridCol w:w="903"/>
        <w:gridCol w:w="1264"/>
        <w:gridCol w:w="1444"/>
        <w:gridCol w:w="1264"/>
        <w:gridCol w:w="3249"/>
      </w:tblGrid>
      <w:tr>
        <w:trPr>
          <w:cantSplit/>
          <w:tblHeader/>
        </w:trPr>
        <w:tc>
          <w:tcPr>
            <w:tcW w:type="pct" w:w="5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Model</w:t>
            </w:r>
          </w:p>
        </w:tc>
        <w:tc>
          <w:tcPr>
            <w:tcW w:type="pct" w:w="5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θ</w:t>
            </w:r>
          </w:p>
        </w:tc>
        <w:tc>
          <w:tcPr>
            <w:tcW w:type="pct" w:w="7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N = 2k</w:t>
            </w:r>
          </w:p>
        </w:tc>
        <w:tc>
          <w:tcPr>
            <w:tcW w:type="pct" w:w="8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Bits/step</w:t>
            </w:r>
          </w:p>
        </w:tc>
        <w:tc>
          <w:tcPr>
            <w:tcW w:type="pct" w:w="7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σ*</w:t>
            </w:r>
          </w:p>
        </w:tc>
        <w:tc>
          <w:tcPr>
            <w:tcW w:type="pct" w:w="18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Purpose</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S1</w:t>
            </w:r>
          </w:p>
        </w:tc>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π/2</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4</w:t>
            </w:r>
          </w:p>
        </w:tc>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2.000</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0.135</w:t>
            </w:r>
          </w:p>
        </w:tc>
        <w:tc>
          <w:tcPr>
            <w:tcW w:type="pct" w:w="1800"/>
            <w:tcMar>
              <w:top w:type="dxa" w:w="60"/>
              <w:left w:type="dxa" w:w="120"/>
              <w:bottom w:type="dxa" w:w="60"/>
              <w:right w:type="dxa" w:w="120"/>
            </w:tcMar>
          </w:tcPr>
          <w:p>
            <w:pPr>
              <w:spacing w:line="276"/>
            </w:pPr>
            <w:r>
              <w:rPr>
                <w:rFonts w:ascii="Times New Roman" w:hAnsi="Times New Roman"/>
                <w:color w:val="2B2320"/>
                <w:sz w:val="18"/>
                <w:szCs w:val="18"/>
              </w:rPr>
              <w:t xml:space="preserve">maximal robustness</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S2</w:t>
            </w:r>
          </w:p>
        </w:tc>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π/3</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6</w:t>
            </w:r>
          </w:p>
        </w:tc>
        <w:tc>
          <w:tcPr>
            <w:tcW w:type="pct" w:w="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2.585</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0.089</w:t>
            </w:r>
          </w:p>
        </w:tc>
        <w:tc>
          <w:tcPr>
            <w:tcW w:type="pct" w:w="1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balance</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S3</w:t>
            </w:r>
          </w:p>
        </w:tc>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π/7</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14</w:t>
            </w:r>
          </w:p>
        </w:tc>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3.807</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0.038</w:t>
            </w:r>
          </w:p>
        </w:tc>
        <w:tc>
          <w:tcPr>
            <w:tcW w:type="pct" w:w="1800"/>
            <w:tcMar>
              <w:top w:type="dxa" w:w="60"/>
              <w:left w:type="dxa" w:w="120"/>
              <w:bottom w:type="dxa" w:w="60"/>
              <w:right w:type="dxa" w:w="120"/>
            </w:tcMar>
          </w:tcPr>
          <w:p>
            <w:pPr>
              <w:spacing w:line="276"/>
            </w:pPr>
            <w:r>
              <w:rPr>
                <w:rFonts w:ascii="Times New Roman" w:hAnsi="Times New Roman"/>
                <w:color w:val="2B2320"/>
                <w:sz w:val="18"/>
                <w:szCs w:val="18"/>
              </w:rPr>
              <w:t xml:space="preserve">maximal capacity</w:t>
            </w:r>
          </w:p>
        </w:tc>
      </w:tr>
    </w:tbl>
    <w:p>
      <w:pPr>
        <w:spacing w:after="120"/>
      </w:pPr>
    </w:p>
    <w:p>
      <w:pPr>
        <w:pStyle w:val="Heading2"/>
        <w:spacing w:after="120" w:before="280" w:line="312"/>
      </w:pPr>
      <w:bookmarkStart w:name="_Toc114" w:id="114"/>
      <w:r>
        <w:rPr>
          <w:rFonts w:ascii="Times New Roman" w:hAnsi="Times New Roman"/>
          <w:b/>
          <w:bCs/>
          <w:color w:val="7A5C48"/>
          <w:sz w:val="26"/>
          <w:szCs w:val="26"/>
        </w:rPr>
        <w:t xml:space="preserve">3. Executed campaigns ES1–ES5</w:t>
      </w:r>
      <w:bookmarkEnd w:id="114"/>
    </w:p>
    <w:p>
      <w:pPr>
        <w:keepNext/>
        <w:spacing w:after="80" w:before="160"/>
        <w:jc w:val="center"/>
      </w:pPr>
      <w:r>
        <w:rPr>
          <w:rFonts w:ascii="Times New Roman" w:hAnsi="Times New Roman"/>
          <w:b/>
          <w:bCs/>
          <w:color w:val="7A5C48"/>
          <w:sz w:val="19"/>
          <w:szCs w:val="19"/>
        </w:rPr>
        <w:t xml:space="preserve">Table 4.3. Spinor campaigns</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1083"/>
        <w:gridCol w:w="1805"/>
        <w:gridCol w:w="4874"/>
        <w:gridCol w:w="1264"/>
      </w:tblGrid>
      <w:tr>
        <w:trPr>
          <w:cantSplit/>
          <w:tblHeader/>
        </w:trPr>
        <w:tc>
          <w:tcPr>
            <w:tcW w:type="pct" w:w="6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Campaign</w:t>
            </w:r>
          </w:p>
        </w:tc>
        <w:tc>
          <w:tcPr>
            <w:tcW w:type="pct" w:w="10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Measured</w:t>
            </w:r>
          </w:p>
        </w:tc>
        <w:tc>
          <w:tcPr>
            <w:tcW w:type="pct" w:w="27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Result</w:t>
            </w:r>
          </w:p>
        </w:tc>
        <w:tc>
          <w:tcPr>
            <w:tcW w:type="pct" w:w="7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Verdict</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ES1</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cycles</w:t>
            </w:r>
          </w:p>
        </w:tc>
        <w:tc>
          <w:tcPr>
            <w:tcW w:type="pct" w:w="2700"/>
            <w:tcMar>
              <w:top w:type="dxa" w:w="60"/>
              <w:left w:type="dxa" w:w="120"/>
              <w:bottom w:type="dxa" w:w="60"/>
              <w:right w:type="dxa" w:w="120"/>
            </w:tcMar>
          </w:tcPr>
          <w:p>
            <w:pPr>
              <w:spacing w:line="276"/>
            </w:pPr>
            <w:r>
              <w:rPr>
                <w:rFonts w:ascii="Times New Roman" w:hAnsi="Times New Roman"/>
                <w:color w:val="2B2320"/>
                <w:sz w:val="18"/>
                <w:szCs w:val="18"/>
              </w:rPr>
              <w:t xml:space="preserve">periods 4/6/14 = 2k exactly; gap = step</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PASS</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ES2</w:t>
            </w:r>
          </w:p>
        </w:tc>
        <w:tc>
          <w:tcPr>
            <w:tcW w:type="pct" w:w="1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reset</w:t>
            </w:r>
          </w:p>
        </w:tc>
        <w:tc>
          <w:tcPr>
            <w:tcW w:type="pct" w:w="2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I(pre;post) = 0; reconstruction ≈ 1/N</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ES3</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time</w:t>
            </w:r>
          </w:p>
        </w:tc>
        <w:tc>
          <w:tcPr>
            <w:tcW w:type="pct" w:w="2700"/>
            <w:tcMar>
              <w:top w:type="dxa" w:w="60"/>
              <w:left w:type="dxa" w:w="120"/>
              <w:bottom w:type="dxa" w:w="60"/>
              <w:right w:type="dxa" w:w="120"/>
            </w:tcMar>
          </w:tcPr>
          <w:p>
            <w:pPr>
              <w:spacing w:line="276"/>
            </w:pPr>
            <w:r>
              <w:rPr>
                <w:rFonts w:ascii="Times New Roman" w:hAnsi="Times New Roman"/>
                <w:color w:val="2B2320"/>
                <w:sz w:val="18"/>
                <w:szCs w:val="18"/>
              </w:rPr>
              <w:t xml:space="preserve">step slope −1.5e−12; log ×129</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PASS</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ES4</w:t>
            </w:r>
          </w:p>
        </w:tc>
        <w:tc>
          <w:tcPr>
            <w:tcW w:type="pct" w:w="1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task</w:t>
            </w:r>
          </w:p>
        </w:tc>
        <w:tc>
          <w:tcPr>
            <w:tcW w:type="pct" w:w="2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 Markov policy is solvable without memory</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ES5</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noise</w:t>
            </w:r>
          </w:p>
        </w:tc>
        <w:tc>
          <w:tcPr>
            <w:tcW w:type="pct" w:w="2700"/>
            <w:tcMar>
              <w:top w:type="dxa" w:w="60"/>
              <w:left w:type="dxa" w:w="120"/>
              <w:bottom w:type="dxa" w:w="60"/>
              <w:right w:type="dxa" w:w="120"/>
            </w:tcMar>
          </w:tcPr>
          <w:p>
            <w:pPr>
              <w:spacing w:line="276"/>
            </w:pPr>
            <w:r>
              <w:rPr>
                <w:rFonts w:ascii="Times New Roman" w:hAnsi="Times New Roman"/>
                <w:color w:val="2B2320"/>
                <w:sz w:val="18"/>
                <w:szCs w:val="18"/>
              </w:rPr>
              <w:t xml:space="preserve">diffusion bounded by the silence zone</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PASS</w:t>
            </w:r>
          </w:p>
        </w:tc>
      </w:tr>
    </w:tbl>
    <w:p>
      <w:pPr>
        <w:spacing w:after="120"/>
      </w:pPr>
    </w:p>
    <w:p>
      <w:pPr>
        <w:spacing w:after="120" w:line="312"/>
        <w:jc w:val="both"/>
      </w:pPr>
      <w:r>
        <w:rPr>
          <w:rFonts w:ascii="Times New Roman" w:hAnsi="Times New Roman"/>
          <w:color w:val="2B2320"/>
          <w:sz w:val="22"/>
          <w:szCs w:val="22"/>
        </w:rPr>
        <w:t xml:space="preserve">The errata ES2a and ES5a: the thresholds of campaigns ES2 and ES5 were replaced before the verdicts were accepted; the replacements are published in the verdict files. The log₂N versus 1/k trade-off is a permanent boundary: capacity grows, the silence zone narrows.</w:t>
      </w:r>
    </w:p>
    <w:p>
      <w:pPr>
        <w:pStyle w:val="Heading2"/>
        <w:spacing w:after="120" w:before="280" w:line="312"/>
      </w:pPr>
      <w:bookmarkStart w:name="_Toc115" w:id="115"/>
      <w:r>
        <w:rPr>
          <w:rFonts w:ascii="Times New Roman" w:hAnsi="Times New Roman"/>
          <w:b/>
          <w:bCs/>
          <w:color w:val="7A5C48"/>
          <w:sz w:val="26"/>
          <w:szCs w:val="26"/>
        </w:rPr>
        <w:t xml:space="preserve">4. The next wave</w:t>
      </w:r>
      <w:bookmarkEnd w:id="115"/>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phases θ = π/k for k &gt; 7: searching for the inflection points of the trade-off;</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task compilation into phase cycles: a formal grammar of policies;</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color w:val="2B2320"/>
          <w:sz w:val="22"/>
          <w:szCs w:val="22"/>
        </w:rPr>
        <w:t xml:space="preserve">a diffusion channel with correlations: beyond the Markov assumption.</w:t>
      </w:r>
    </w:p>
    <w:p>
      <w:pPr>
        <w:pStyle w:val="Heading2"/>
        <w:spacing w:after="120" w:before="280" w:line="312"/>
      </w:pPr>
      <w:bookmarkStart w:name="_Toc116" w:id="116"/>
      <w:r>
        <w:rPr>
          <w:rFonts w:ascii="Times New Roman" w:hAnsi="Times New Roman"/>
          <w:b/>
          <w:bCs/>
          <w:color w:val="7A5C48"/>
          <w:sz w:val="26"/>
          <w:szCs w:val="26"/>
        </w:rPr>
        <w:t xml:space="preserve">5. Honest boundaries</w:t>
      </w:r>
      <w:bookmarkEnd w:id="116"/>
    </w:p>
    <w:p>
      <w:pPr>
        <w:spacing w:after="120" w:line="312"/>
        <w:jc w:val="both"/>
      </w:pPr>
      <w:r>
        <w:rPr>
          <w:rFonts w:ascii="Times New Roman" w:hAnsi="Times New Roman"/>
          <w:color w:val="2B2320"/>
          <w:sz w:val="22"/>
          <w:szCs w:val="22"/>
        </w:rPr>
        <w:t xml:space="preserve">Not every task is solvable without memory: the applicability class is tasks with a Markov policy. Reconstruction ≈ 1/N is the chance level, not "almost zero": information is erased to the limit. A log gives Ω(t) under any "smart" scheduling — this is a lower bound, not an implementation defect.</w:t>
      </w:r>
    </w:p>
    <w:p>
      <w:pPr>
        <w:pStyle w:val="Heading1"/>
        <w:spacing w:after="160" w:before="360" w:line="312"/>
      </w:pPr>
      <w:bookmarkStart w:name="_Toc117" w:id="117"/>
      <w:r>
        <w:rPr>
          <w:rFonts w:ascii="Times New Roman" w:hAnsi="Times New Roman"/>
          <w:b/>
          <w:bCs/>
          <w:color w:val="2B2320"/>
          <w:sz w:val="32"/>
          <w:szCs w:val="32"/>
        </w:rPr>
        <w:t xml:space="preserve">Chapter 24. Certificates and Audit: V10–V14</w:t>
      </w:r>
      <w:bookmarkEnd w:id="117"/>
    </w:p>
    <w:p>
      <w:pPr>
        <w:spacing w:after="160" w:line="312"/>
        <w:jc w:val="both"/>
      </w:pPr>
      <w:r>
        <w:rPr>
          <w:rFonts w:ascii="Times New Roman" w:hAnsi="Times New Roman"/>
          <w:color w:val="7A5C48"/>
          <w:sz w:val="23"/>
          <w:szCs w:val="23"/>
        </w:rPr>
        <w:t xml:space="preserve">Five mid-program campaigns connect construction with trust: spectral certificates (V10), the obligation DAG draft (V11), Kato widths (V12), the obligation machine (V13) and the claim audit (V14). Together they turn "numbers" into "statuses".</w:t>
      </w:r>
    </w:p>
    <w:p>
      <w:pPr>
        <w:pStyle w:val="Heading2"/>
        <w:spacing w:after="120" w:before="280" w:line="312"/>
      </w:pPr>
      <w:bookmarkStart w:name="_Toc118" w:id="118"/>
      <w:r>
        <w:rPr>
          <w:rFonts w:ascii="Times New Roman" w:hAnsi="Times New Roman"/>
          <w:b/>
          <w:bCs/>
          <w:color w:val="7A5C48"/>
          <w:sz w:val="26"/>
          <w:szCs w:val="26"/>
        </w:rPr>
        <w:t xml:space="preserve">24.1. V10: certificate agreement</w:t>
      </w:r>
      <w:bookmarkEnd w:id="118"/>
    </w:p>
    <w:p>
      <w:pPr>
        <w:spacing w:after="120" w:line="312"/>
        <w:jc w:val="both"/>
      </w:pPr>
      <w:r>
        <w:rPr>
          <w:rFonts w:ascii="Times New Roman" w:hAnsi="Times New Roman"/>
          <w:color w:val="2B2320"/>
          <w:sz w:val="22"/>
          <w:szCs w:val="22"/>
        </w:rPr>
        <w:t xml:space="preserve">Campaign V10 checks the mutual consistency of the construction certificates: the boundaries claimed by V4–V5 must not contradict the Kato estimates and the Gershgorin bounds. The agreement is confirmed: the certificates form a consistent system where every estimate uses conservative assumptions and no boundary "hangs in the air". The practical meaning: when the operator is extended to larger sizes, the certificates transfer — they are formulated in terms of norms and gaps, not concrete matrices.</w:t>
      </w:r>
    </w:p>
    <w:p>
      <w:pPr>
        <w:pStyle w:val="Heading2"/>
        <w:spacing w:after="120" w:before="280" w:line="312"/>
      </w:pPr>
      <w:bookmarkStart w:name="_Toc119" w:id="119"/>
      <w:r>
        <w:rPr>
          <w:rFonts w:ascii="Times New Roman" w:hAnsi="Times New Roman"/>
          <w:b/>
          <w:bCs/>
          <w:color w:val="7A5C48"/>
          <w:sz w:val="26"/>
          <w:szCs w:val="26"/>
        </w:rPr>
        <w:t xml:space="preserve">24.2. V11–V13: from a draft to the obligation machine</w:t>
      </w:r>
      <w:bookmarkEnd w:id="119"/>
    </w:p>
    <w:p>
      <w:pPr>
        <w:spacing w:after="120" w:line="312"/>
        <w:jc w:val="both"/>
      </w:pPr>
      <w:r>
        <w:rPr>
          <w:rFonts w:ascii="Times New Roman" w:hAnsi="Times New Roman"/>
          <w:color w:val="2B2320"/>
          <w:sz w:val="22"/>
          <w:szCs w:val="22"/>
        </w:rPr>
        <w:t xml:space="preserve">V11 fixes the DAG draft: the nodes of the path to RH, their dependencies, candidates for proofs. V12 adds the Kato certificates (Th3) — the quantitative basis for computed statuses. V13 assembles everything into the executable machine: a valid DAG, node statuses, the automatic blocked verdict. The machine does not get "smarter" from numerical successes: the only way to raise an assumed node is an analytic proof; the only way to prove — the formal layer.</w:t>
      </w:r>
    </w:p>
    <w:p>
      <w:pPr>
        <w:pStyle w:val="Heading2"/>
        <w:spacing w:after="120" w:before="280" w:line="312"/>
      </w:pPr>
      <w:bookmarkStart w:name="_Toc120" w:id="120"/>
      <w:r>
        <w:rPr>
          <w:rFonts w:ascii="Times New Roman" w:hAnsi="Times New Roman"/>
          <w:b/>
          <w:bCs/>
          <w:color w:val="7A5C48"/>
          <w:sz w:val="26"/>
          <w:szCs w:val="26"/>
        </w:rPr>
        <w:t xml:space="preserve">24.3. V14: the claim audit</w:t>
      </w:r>
      <w:bookmarkEnd w:id="120"/>
    </w:p>
    <w:p>
      <w:pPr>
        <w:spacing w:after="120" w:line="312"/>
        <w:jc w:val="both"/>
      </w:pPr>
      <w:r>
        <w:rPr>
          <w:rFonts w:ascii="Times New Roman" w:hAnsi="Times New Roman"/>
          <w:color w:val="2B2320"/>
          <w:sz w:val="22"/>
          <w:szCs w:val="22"/>
        </w:rPr>
        <w:t xml:space="preserve">V14 is the discipline of public words. Every substantial claim of the program is fixed in a claim file (claim_v0*.json): the wording, the support, the status, what is not proved. The audit cross-checks claims against verdicts: any divergence is a process error. Thus the claim "reads, does not carry" rests on the V23 preview and E17 and does not claim more than those verdicts give. The audit is a code review for statements: words pass the same check as numbers.</w:t>
      </w:r>
    </w:p>
    <w:p>
      <w:pPr>
        <w:keepNext/>
        <w:spacing w:after="80" w:before="160"/>
        <w:jc w:val="center"/>
      </w:pPr>
      <w:r>
        <w:rPr>
          <w:rFonts w:ascii="Times New Roman" w:hAnsi="Times New Roman"/>
          <w:b/>
          <w:bCs/>
          <w:color w:val="7A5C48"/>
          <w:sz w:val="19"/>
          <w:szCs w:val="19"/>
        </w:rPr>
        <w:t xml:space="preserve">Table 24.1. The status system of the program</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1264"/>
        <w:gridCol w:w="3069"/>
        <w:gridCol w:w="4694"/>
      </w:tblGrid>
      <w:tr>
        <w:trPr>
          <w:cantSplit/>
          <w:tblHeader/>
        </w:trPr>
        <w:tc>
          <w:tcPr>
            <w:tcW w:type="pct" w:w="7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Status</w:t>
            </w:r>
          </w:p>
        </w:tc>
        <w:tc>
          <w:tcPr>
            <w:tcW w:type="pct" w:w="17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Assigned by</w:t>
            </w:r>
          </w:p>
        </w:tc>
        <w:tc>
          <w:tcPr>
            <w:tcW w:type="pct" w:w="26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What it gives the reader</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proven</w:t>
            </w:r>
          </w:p>
        </w:tc>
        <w:tc>
          <w:tcPr>
            <w:tcW w:type="pct" w:w="1700"/>
            <w:tcMar>
              <w:top w:type="dxa" w:w="60"/>
              <w:left w:type="dxa" w:w="120"/>
              <w:bottom w:type="dxa" w:w="60"/>
              <w:right w:type="dxa" w:w="120"/>
            </w:tcMar>
          </w:tcPr>
          <w:p>
            <w:pPr>
              <w:spacing w:line="276"/>
            </w:pPr>
            <w:r>
              <w:rPr>
                <w:rFonts w:ascii="Times New Roman" w:hAnsi="Times New Roman"/>
                <w:color w:val="2B2320"/>
                <w:sz w:val="18"/>
                <w:szCs w:val="18"/>
              </w:rPr>
              <w:t xml:space="preserve">the formal layer (Lean/Coq)</w:t>
            </w:r>
          </w:p>
        </w:tc>
        <w:tc>
          <w:tcPr>
            <w:tcW w:type="pct" w:w="2600"/>
            <w:tcMar>
              <w:top w:type="dxa" w:w="60"/>
              <w:left w:type="dxa" w:w="120"/>
              <w:bottom w:type="dxa" w:w="60"/>
              <w:right w:type="dxa" w:w="120"/>
            </w:tcMar>
          </w:tcPr>
          <w:p>
            <w:pPr>
              <w:spacing w:line="276"/>
            </w:pPr>
            <w:r>
              <w:rPr>
                <w:rFonts w:ascii="Times New Roman" w:hAnsi="Times New Roman"/>
                <w:color w:val="2B2320"/>
                <w:sz w:val="18"/>
                <w:szCs w:val="18"/>
              </w:rPr>
              <w:t xml:space="preserve">the claim holds for all inputs</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computed</w:t>
            </w:r>
          </w:p>
        </w:tc>
        <w:tc>
          <w:tcPr>
            <w:tcW w:type="pct" w:w="1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 campaign with a certificate</w:t>
            </w:r>
          </w:p>
        </w:tc>
        <w:tc>
          <w:tcPr>
            <w:tcW w:type="pct" w:w="2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claim holds for checked inputs with an error estimate</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assumed</w:t>
            </w:r>
          </w:p>
        </w:tc>
        <w:tc>
          <w:tcPr>
            <w:tcW w:type="pct" w:w="1700"/>
            <w:tcMar>
              <w:top w:type="dxa" w:w="60"/>
              <w:left w:type="dxa" w:w="120"/>
              <w:bottom w:type="dxa" w:w="60"/>
              <w:right w:type="dxa" w:w="120"/>
            </w:tcMar>
          </w:tcPr>
          <w:p>
            <w:pPr>
              <w:spacing w:line="276"/>
            </w:pPr>
            <w:r>
              <w:rPr>
                <w:rFonts w:ascii="Times New Roman" w:hAnsi="Times New Roman"/>
                <w:color w:val="2B2320"/>
                <w:sz w:val="18"/>
                <w:szCs w:val="18"/>
              </w:rPr>
              <w:t xml:space="preserve">a protocol (hypothesis)</w:t>
            </w:r>
          </w:p>
        </w:tc>
        <w:tc>
          <w:tcPr>
            <w:tcW w:type="pct" w:w="2600"/>
            <w:tcMar>
              <w:top w:type="dxa" w:w="60"/>
              <w:left w:type="dxa" w:w="120"/>
              <w:bottom w:type="dxa" w:w="60"/>
              <w:right w:type="dxa" w:w="120"/>
            </w:tcMar>
          </w:tcPr>
          <w:p>
            <w:pPr>
              <w:spacing w:line="276"/>
            </w:pPr>
            <w:r>
              <w:rPr>
                <w:rFonts w:ascii="Times New Roman" w:hAnsi="Times New Roman"/>
                <w:color w:val="2B2320"/>
                <w:sz w:val="18"/>
                <w:szCs w:val="18"/>
              </w:rPr>
              <w:t xml:space="preserve">the boundary of the known; work continues here</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blocked</w:t>
            </w:r>
          </w:p>
        </w:tc>
        <w:tc>
          <w:tcPr>
            <w:tcW w:type="pct" w:w="1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obligation machine</w:t>
            </w:r>
          </w:p>
        </w:tc>
        <w:tc>
          <w:tcPr>
            <w:tcW w:type="pct" w:w="2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conclusion is unavailable until assumed nodes are removed</w:t>
            </w:r>
          </w:p>
        </w:tc>
      </w:tr>
    </w:tbl>
    <w:p>
      <w:pPr>
        <w:spacing w:after="120"/>
      </w:pPr>
    </w:p>
    <w:p>
      <w:pPr>
        <w:pStyle w:val="Heading1"/>
        <w:spacing w:after="160" w:before="360" w:line="312"/>
      </w:pPr>
      <w:bookmarkStart w:name="_Toc121" w:id="121"/>
      <w:r>
        <w:rPr>
          <w:rFonts w:ascii="Times New Roman" w:hAnsi="Times New Roman"/>
          <w:b/>
          <w:bCs/>
          <w:color w:val="2B2320"/>
          <w:sz w:val="32"/>
          <w:szCs w:val="32"/>
        </w:rPr>
        <w:t xml:space="preserve">Chapter 25. Web Laboratories: 18 Tabs of Living Mathematics</w:t>
      </w:r>
      <w:bookmarkEnd w:id="121"/>
    </w:p>
    <w:p>
      <w:pPr>
        <w:spacing w:after="160" w:line="312"/>
        <w:jc w:val="both"/>
      </w:pPr>
      <w:r>
        <w:rPr>
          <w:rFonts w:ascii="Times New Roman" w:hAnsi="Times New Roman"/>
          <w:color w:val="7A5C48"/>
          <w:sz w:val="23"/>
          <w:szCs w:val="23"/>
        </w:rPr>
        <w:t xml:space="preserve">The three laboratories of the program — the portal, the core and the processor — contain eighteen interactive tabs. Every tab runs real computations in the browser and is consistent with the control files of the multi-language implementations.</w:t>
      </w:r>
    </w:p>
    <w:p>
      <w:pPr>
        <w:pStyle w:val="Heading2"/>
        <w:spacing w:after="120" w:before="280" w:line="312"/>
      </w:pPr>
      <w:bookmarkStart w:name="_Toc122" w:id="122"/>
      <w:r>
        <w:rPr>
          <w:rFonts w:ascii="Times New Roman" w:hAnsi="Times New Roman"/>
          <w:b/>
          <w:bCs/>
          <w:color w:val="7A5C48"/>
          <w:sz w:val="26"/>
          <w:szCs w:val="26"/>
        </w:rPr>
        <w:t xml:space="preserve">25.1. The research portal</w:t>
      </w:r>
      <w:bookmarkEnd w:id="122"/>
    </w:p>
    <w:p>
      <w:pPr>
        <w:spacing w:after="120" w:line="312"/>
        <w:jc w:val="both"/>
      </w:pPr>
      <w:r>
        <w:rPr>
          <w:rFonts w:ascii="Times New Roman" w:hAnsi="Times New Roman"/>
          <w:color w:val="2B2320"/>
          <w:sz w:val="22"/>
          <w:szCs w:val="22"/>
        </w:rPr>
        <w:t xml:space="preserve">web_lab/index.html is the entry point: three blocks (the levels, the Th1–Th6 layer, the formal status) plus the spinor study. The portal explains how the levels are connected and gives direct links to the core and processor tabs. The formal status is rendered from the same data as the README badges: no divergence between the "picture" and the repository state.</w:t>
      </w:r>
    </w:p>
    <w:p>
      <w:pPr>
        <w:pStyle w:val="Heading2"/>
        <w:spacing w:after="120" w:before="280" w:line="312"/>
      </w:pPr>
      <w:bookmarkStart w:name="_Toc123" w:id="123"/>
      <w:r>
        <w:rPr>
          <w:rFonts w:ascii="Times New Roman" w:hAnsi="Times New Roman"/>
          <w:b/>
          <w:bCs/>
          <w:color w:val="7A5C48"/>
          <w:sz w:val="26"/>
          <w:szCs w:val="26"/>
        </w:rPr>
        <w:t xml:space="preserve">25.2. The core laboratory: 10 tabs</w:t>
      </w:r>
      <w:bookmarkEnd w:id="123"/>
    </w:p>
    <w:p>
      <w:pPr>
        <w:keepNext/>
        <w:spacing w:after="80" w:before="160"/>
        <w:jc w:val="center"/>
      </w:pPr>
      <w:r>
        <w:rPr>
          <w:rFonts w:ascii="Times New Roman" w:hAnsi="Times New Roman"/>
          <w:b/>
          <w:bCs/>
          <w:color w:val="7A5C48"/>
          <w:sz w:val="19"/>
          <w:szCs w:val="19"/>
        </w:rPr>
        <w:t xml:space="preserve">Table 25.1. Core laboratory tabs</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2347"/>
        <w:gridCol w:w="3971"/>
        <w:gridCol w:w="2708"/>
      </w:tblGrid>
      <w:tr>
        <w:trPr>
          <w:cantSplit/>
          <w:tblHeader/>
        </w:trPr>
        <w:tc>
          <w:tcPr>
            <w:tcW w:type="pct" w:w="13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Tab</w:t>
            </w:r>
          </w:p>
        </w:tc>
        <w:tc>
          <w:tcPr>
            <w:tcW w:type="pct" w:w="22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What it does</w:t>
            </w:r>
          </w:p>
        </w:tc>
        <w:tc>
          <w:tcPr>
            <w:tcW w:type="pct" w:w="15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Basis</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Riemann–Siegel Z(t)</w:t>
            </w:r>
          </w:p>
        </w:tc>
        <w:tc>
          <w:tcPr>
            <w:tcW w:type="pct" w:w="2200"/>
            <w:tcMar>
              <w:top w:type="dxa" w:w="60"/>
              <w:left w:type="dxa" w:w="120"/>
              <w:bottom w:type="dxa" w:w="60"/>
              <w:right w:type="dxa" w:w="120"/>
            </w:tcMar>
          </w:tcPr>
          <w:p>
            <w:pPr>
              <w:spacing w:line="276"/>
            </w:pPr>
            <w:r>
              <w:rPr>
                <w:rFonts w:ascii="Times New Roman" w:hAnsi="Times New Roman"/>
                <w:color w:val="2B2320"/>
                <w:sz w:val="18"/>
                <w:szCs w:val="18"/>
              </w:rPr>
              <w:t xml:space="preserve">computes Z(t) and shows zeros on the line</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the E16 method</w:t>
            </w:r>
          </w:p>
        </w:tc>
      </w:tr>
      <w:tr>
        <w:trPr>
          <w:cantSplit/>
        </w:trPr>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Gate constructor</w:t>
            </w:r>
          </w:p>
        </w:tc>
        <w:tc>
          <w:tcPr>
            <w:tcW w:type="pct" w:w="2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assembles AB clouds and inspects phases</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core ISA</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Trace ↔ primes</w:t>
            </w:r>
          </w:p>
        </w:tc>
        <w:tc>
          <w:tcPr>
            <w:tcW w:type="pct" w:w="2200"/>
            <w:tcMar>
              <w:top w:type="dxa" w:w="60"/>
              <w:left w:type="dxa" w:w="120"/>
              <w:bottom w:type="dxa" w:w="60"/>
              <w:right w:type="dxa" w:w="120"/>
            </w:tcMar>
          </w:tcPr>
          <w:p>
            <w:pPr>
              <w:spacing w:line="276"/>
            </w:pPr>
            <w:r>
              <w:rPr>
                <w:rFonts w:ascii="Times New Roman" w:hAnsi="Times New Roman"/>
                <w:color w:val="2B2320"/>
                <w:sz w:val="18"/>
                <w:szCs w:val="18"/>
              </w:rPr>
              <w:t xml:space="preserve">plots the trace correlation with the Λ-sum</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V7/Th6</w:t>
            </w:r>
          </w:p>
        </w:tc>
      </w:tr>
      <w:tr>
        <w:trPr>
          <w:cantSplit/>
        </w:trPr>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Li criterion</w:t>
            </w:r>
          </w:p>
        </w:tc>
        <w:tc>
          <w:tcPr>
            <w:tcW w:type="pct" w:w="2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draws the λ_n ladder</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Th4/V15</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ψ-ladder</w:t>
            </w:r>
          </w:p>
        </w:tc>
        <w:tc>
          <w:tcPr>
            <w:tcW w:type="pct" w:w="2200"/>
            <w:tcMar>
              <w:top w:type="dxa" w:w="60"/>
              <w:left w:type="dxa" w:w="120"/>
              <w:bottom w:type="dxa" w:w="60"/>
              <w:right w:type="dxa" w:w="120"/>
            </w:tcMar>
          </w:tcPr>
          <w:p>
            <w:pPr>
              <w:spacing w:line="276"/>
            </w:pPr>
            <w:r>
              <w:rPr>
                <w:rFonts w:ascii="Times New Roman" w:hAnsi="Times New Roman"/>
                <w:color w:val="2B2320"/>
                <w:sz w:val="18"/>
                <w:szCs w:val="18"/>
              </w:rPr>
              <w:t xml:space="preserve">shows ψ(x) against Σ Λ(n)/√n</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Th6</w:t>
            </w:r>
          </w:p>
        </w:tc>
      </w:tr>
      <w:tr>
        <w:trPr>
          <w:cantSplit/>
        </w:trPr>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V16–V19</w:t>
            </w:r>
          </w:p>
        </w:tc>
        <w:tc>
          <w:tcPr>
            <w:tcW w:type="pct" w:w="2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visualizes the behavioural campaigns</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verdicts</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Theorems</w:t>
            </w:r>
          </w:p>
        </w:tc>
        <w:tc>
          <w:tcPr>
            <w:tcW w:type="pct" w:w="2200"/>
            <w:tcMar>
              <w:top w:type="dxa" w:w="60"/>
              <w:left w:type="dxa" w:w="120"/>
              <w:bottom w:type="dxa" w:w="60"/>
              <w:right w:type="dxa" w:w="120"/>
            </w:tcMar>
          </w:tcPr>
          <w:p>
            <w:pPr>
              <w:spacing w:line="276"/>
            </w:pPr>
            <w:r>
              <w:rPr>
                <w:rFonts w:ascii="Times New Roman" w:hAnsi="Times New Roman"/>
                <w:color w:val="2B2320"/>
                <w:sz w:val="18"/>
                <w:szCs w:val="18"/>
              </w:rPr>
              <w:t xml:space="preserve">summarizes Th1–Th6 with certificates</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_json/</w:t>
            </w:r>
          </w:p>
        </w:tc>
      </w:tr>
    </w:tbl>
    <w:p>
      <w:pPr>
        <w:spacing w:after="120"/>
      </w:pPr>
    </w:p>
    <w:p>
      <w:pPr>
        <w:pStyle w:val="Heading2"/>
        <w:spacing w:after="120" w:before="280" w:line="312"/>
      </w:pPr>
      <w:bookmarkStart w:name="_Toc124" w:id="124"/>
      <w:r>
        <w:rPr>
          <w:rFonts w:ascii="Times New Roman" w:hAnsi="Times New Roman"/>
          <w:b/>
          <w:bCs/>
          <w:color w:val="7A5C48"/>
          <w:sz w:val="26"/>
          <w:szCs w:val="26"/>
        </w:rPr>
        <w:t xml:space="preserve">25.3. The processor laboratory: 8 tabs</w:t>
      </w:r>
      <w:bookmarkEnd w:id="124"/>
    </w:p>
    <w:p>
      <w:pPr>
        <w:spacing w:after="120" w:line="312"/>
        <w:jc w:val="both"/>
      </w:pPr>
      <w:r>
        <w:rPr>
          <w:rFonts w:ascii="Times New Roman" w:hAnsi="Times New Roman"/>
          <w:color w:val="2B2320"/>
          <w:sz w:val="22"/>
          <w:szCs w:val="22"/>
        </w:rPr>
        <w:t xml:space="preserve">The processor tabs: ISA (the cloud reference), the V20 compiler (compiling 4×4/8×8 in the browser), zero reading (V23·E11/E17), nonlocality (the CHSH experiment), the roadmap, data, theorems. The key principle — the same numbers as in the verdicts: the browser compiler reproduces 1−F at the 1e−16 level because it uses the same algorithm ported to JavaScript.</w:t>
      </w:r>
    </w:p>
    <w:p>
      <w:pPr>
        <w:spacing w:after="120" w:line="312"/>
        <w:jc w:val="both"/>
      </w:pPr>
      <w:r>
        <w:rPr>
          <w:rFonts w:ascii="Times New Roman" w:hAnsi="Times New Roman"/>
          <w:color w:val="2B2320"/>
          <w:sz w:val="22"/>
          <w:szCs w:val="22"/>
        </w:rPr>
        <w:t xml:space="preserve">Consistency is enforced by control files: the JavaScript implementation of the core gives bit-exact the same results as C/C++/Rust/Go/Julia (stitch_control.txt, verify_control.txt). The browser becomes the executable environment of the program: a referee does not read a report about a computation — they run it.</w:t>
      </w:r>
    </w:p>
    <w:p>
      <w:pPr>
        <w:pStyle w:val="Heading1"/>
        <w:spacing w:after="160" w:before="360" w:line="312"/>
      </w:pPr>
      <w:bookmarkStart w:name="_Toc125" w:id="125"/>
      <w:r>
        <w:rPr>
          <w:rFonts w:ascii="Times New Roman" w:hAnsi="Times New Roman"/>
          <w:b/>
          <w:bCs/>
          <w:color w:val="2B2320"/>
          <w:sz w:val="32"/>
          <w:szCs w:val="32"/>
        </w:rPr>
        <w:t xml:space="preserve">Chapter 26. Multi-Language Implementations</w:t>
      </w:r>
      <w:bookmarkEnd w:id="125"/>
    </w:p>
    <w:p>
      <w:pPr>
        <w:spacing w:after="160" w:line="312"/>
        <w:jc w:val="both"/>
      </w:pPr>
      <w:r>
        <w:rPr>
          <w:rFonts w:ascii="Times New Roman" w:hAnsi="Times New Roman"/>
          <w:color w:val="7A5C48"/>
          <w:sz w:val="23"/>
          <w:szCs w:val="23"/>
        </w:rPr>
        <w:t xml:space="preserve">The core of the program is implemented in six languages — C, C++, Rust, Go, JavaScript, Julia — plus Python for the pipelines. Every implementation produces a control output, and all control outputs agree bit-exactly.</w:t>
      </w:r>
    </w:p>
    <w:p>
      <w:pPr>
        <w:pStyle w:val="Heading2"/>
        <w:spacing w:after="120" w:before="280" w:line="312"/>
      </w:pPr>
      <w:bookmarkStart w:name="_Toc126" w:id="126"/>
      <w:r>
        <w:rPr>
          <w:rFonts w:ascii="Times New Roman" w:hAnsi="Times New Roman"/>
          <w:b/>
          <w:bCs/>
          <w:color w:val="7A5C48"/>
          <w:sz w:val="26"/>
          <w:szCs w:val="26"/>
        </w:rPr>
        <w:t xml:space="preserve">26.1. Why six implementations</w:t>
      </w:r>
      <w:bookmarkEnd w:id="126"/>
    </w:p>
    <w:p>
      <w:pPr>
        <w:spacing w:after="120" w:line="312"/>
        <w:jc w:val="both"/>
      </w:pPr>
      <w:r>
        <w:rPr>
          <w:rFonts w:ascii="Times New Roman" w:hAnsi="Times New Roman"/>
          <w:color w:val="2B2320"/>
          <w:sz w:val="22"/>
          <w:szCs w:val="22"/>
        </w:rPr>
        <w:t xml:space="preserve">Multi-language support is replication built into distribution. Any user can verify the core in the language of their infrastructure; the agreement of the control files guarantees that there is no "language difference". It also catches compiler and library artifacts: if the result depended on the optimizations of a particular toolchain, the control sums would diverge.</w:t>
      </w:r>
    </w:p>
    <w:p>
      <w:pPr>
        <w:keepNext/>
        <w:spacing w:after="80" w:before="160"/>
        <w:jc w:val="center"/>
      </w:pPr>
      <w:r>
        <w:rPr>
          <w:rFonts w:ascii="Times New Roman" w:hAnsi="Times New Roman"/>
          <w:b/>
          <w:bCs/>
          <w:color w:val="7A5C48"/>
          <w:sz w:val="19"/>
          <w:szCs w:val="19"/>
        </w:rPr>
        <w:t xml:space="preserve">Table 26.1. Core implementations</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1264"/>
        <w:gridCol w:w="3971"/>
        <w:gridCol w:w="3791"/>
      </w:tblGrid>
      <w:tr>
        <w:trPr>
          <w:cantSplit/>
          <w:tblHeader/>
        </w:trPr>
        <w:tc>
          <w:tcPr>
            <w:tcW w:type="pct" w:w="7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Language</w:t>
            </w:r>
          </w:p>
        </w:tc>
        <w:tc>
          <w:tcPr>
            <w:tcW w:type="pct" w:w="22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File</w:t>
            </w:r>
          </w:p>
        </w:tc>
        <w:tc>
          <w:tcPr>
            <w:tcW w:type="pct" w:w="21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Role</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C</w:t>
            </w:r>
          </w:p>
        </w:tc>
        <w:tc>
          <w:tcPr>
            <w:tcW w:type="pct" w:w="2200"/>
            <w:tcMar>
              <w:top w:type="dxa" w:w="60"/>
              <w:left w:type="dxa" w:w="120"/>
              <w:bottom w:type="dxa" w:w="60"/>
              <w:right w:type="dxa" w:w="120"/>
            </w:tcMar>
          </w:tcPr>
          <w:p>
            <w:pPr>
              <w:spacing w:line="276"/>
            </w:pPr>
            <w:r>
              <w:rPr>
                <w:rFonts w:ascii="Times New Roman" w:hAnsi="Times New Roman"/>
                <w:color w:val="2B2320"/>
                <w:sz w:val="18"/>
                <w:szCs w:val="18"/>
              </w:rPr>
              <w:t xml:space="preserve">multilang/c/verify_core.c, stitch_core.c</w:t>
            </w:r>
          </w:p>
        </w:tc>
        <w:tc>
          <w:tcPr>
            <w:tcW w:type="pct" w:w="2100"/>
            <w:tcMar>
              <w:top w:type="dxa" w:w="60"/>
              <w:left w:type="dxa" w:w="120"/>
              <w:bottom w:type="dxa" w:w="60"/>
              <w:right w:type="dxa" w:w="120"/>
            </w:tcMar>
          </w:tcPr>
          <w:p>
            <w:pPr>
              <w:spacing w:line="276"/>
            </w:pPr>
            <w:r>
              <w:rPr>
                <w:rFonts w:ascii="Times New Roman" w:hAnsi="Times New Roman"/>
                <w:color w:val="2B2320"/>
                <w:sz w:val="18"/>
                <w:szCs w:val="18"/>
              </w:rPr>
              <w:t xml:space="preserve">the minimal reference implementation</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w:t>
            </w:r>
          </w:p>
        </w:tc>
        <w:tc>
          <w:tcPr>
            <w:tcW w:type="pct" w:w="2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multilang/cpp/verify_core.cpp</w:t>
            </w:r>
          </w:p>
        </w:tc>
        <w:tc>
          <w:tcPr>
            <w:tcW w:type="pct" w:w="2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modern stack, same arithmetic</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Rust</w:t>
            </w:r>
          </w:p>
        </w:tc>
        <w:tc>
          <w:tcPr>
            <w:tcW w:type="pct" w:w="2200"/>
            <w:tcMar>
              <w:top w:type="dxa" w:w="60"/>
              <w:left w:type="dxa" w:w="120"/>
              <w:bottom w:type="dxa" w:w="60"/>
              <w:right w:type="dxa" w:w="120"/>
            </w:tcMar>
          </w:tcPr>
          <w:p>
            <w:pPr>
              <w:spacing w:line="276"/>
            </w:pPr>
            <w:r>
              <w:rPr>
                <w:rFonts w:ascii="Times New Roman" w:hAnsi="Times New Roman"/>
                <w:color w:val="2B2320"/>
                <w:sz w:val="18"/>
                <w:szCs w:val="18"/>
              </w:rPr>
              <w:t xml:space="preserve">multilang/rust/verify_core.rs</w:t>
            </w:r>
          </w:p>
        </w:tc>
        <w:tc>
          <w:tcPr>
            <w:tcW w:type="pct" w:w="2100"/>
            <w:tcMar>
              <w:top w:type="dxa" w:w="60"/>
              <w:left w:type="dxa" w:w="120"/>
              <w:bottom w:type="dxa" w:w="60"/>
              <w:right w:type="dxa" w:w="120"/>
            </w:tcMar>
          </w:tcPr>
          <w:p>
            <w:pPr>
              <w:spacing w:line="276"/>
            </w:pPr>
            <w:r>
              <w:rPr>
                <w:rFonts w:ascii="Times New Roman" w:hAnsi="Times New Roman"/>
                <w:color w:val="2B2320"/>
                <w:sz w:val="18"/>
                <w:szCs w:val="18"/>
              </w:rPr>
              <w:t xml:space="preserve">memory safety without GC</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Go</w:t>
            </w:r>
          </w:p>
        </w:tc>
        <w:tc>
          <w:tcPr>
            <w:tcW w:type="pct" w:w="2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multilang/go/verify_core.go</w:t>
            </w:r>
          </w:p>
        </w:tc>
        <w:tc>
          <w:tcPr>
            <w:tcW w:type="pct" w:w="2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simple distribution, cross-compilation</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JavaScript</w:t>
            </w:r>
          </w:p>
        </w:tc>
        <w:tc>
          <w:tcPr>
            <w:tcW w:type="pct" w:w="2200"/>
            <w:tcMar>
              <w:top w:type="dxa" w:w="60"/>
              <w:left w:type="dxa" w:w="120"/>
              <w:bottom w:type="dxa" w:w="60"/>
              <w:right w:type="dxa" w:w="120"/>
            </w:tcMar>
          </w:tcPr>
          <w:p>
            <w:pPr>
              <w:spacing w:line="276"/>
            </w:pPr>
            <w:r>
              <w:rPr>
                <w:rFonts w:ascii="Times New Roman" w:hAnsi="Times New Roman"/>
                <w:color w:val="2B2320"/>
                <w:sz w:val="18"/>
                <w:szCs w:val="18"/>
              </w:rPr>
              <w:t xml:space="preserve">multilang/javascript/verify_core.js</w:t>
            </w:r>
          </w:p>
        </w:tc>
        <w:tc>
          <w:tcPr>
            <w:tcW w:type="pct" w:w="2100"/>
            <w:tcMar>
              <w:top w:type="dxa" w:w="60"/>
              <w:left w:type="dxa" w:w="120"/>
              <w:bottom w:type="dxa" w:w="60"/>
              <w:right w:type="dxa" w:w="120"/>
            </w:tcMar>
          </w:tcPr>
          <w:p>
            <w:pPr>
              <w:spacing w:line="276"/>
            </w:pPr>
            <w:r>
              <w:rPr>
                <w:rFonts w:ascii="Times New Roman" w:hAnsi="Times New Roman"/>
                <w:color w:val="2B2320"/>
                <w:sz w:val="18"/>
                <w:szCs w:val="18"/>
              </w:rPr>
              <w:t xml:space="preserve">the browser laboratories</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Julia</w:t>
            </w:r>
          </w:p>
        </w:tc>
        <w:tc>
          <w:tcPr>
            <w:tcW w:type="pct" w:w="2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multilang/julia/verify_core.jl</w:t>
            </w:r>
          </w:p>
        </w:tc>
        <w:tc>
          <w:tcPr>
            <w:tcW w:type="pct" w:w="2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BigFloat verification of the platform</w:t>
            </w:r>
          </w:p>
        </w:tc>
      </w:tr>
    </w:tbl>
    <w:p>
      <w:pPr>
        <w:spacing w:after="120"/>
      </w:pPr>
    </w:p>
    <w:p>
      <w:pPr>
        <w:pStyle w:val="Heading2"/>
        <w:spacing w:after="120" w:before="280" w:line="312"/>
      </w:pPr>
      <w:bookmarkStart w:name="_Toc127" w:id="127"/>
      <w:r>
        <w:rPr>
          <w:rFonts w:ascii="Times New Roman" w:hAnsi="Times New Roman"/>
          <w:b/>
          <w:bCs/>
          <w:color w:val="7A5C48"/>
          <w:sz w:val="26"/>
          <w:szCs w:val="26"/>
        </w:rPr>
        <w:t xml:space="preserve">26.2. Control files</w:t>
      </w:r>
      <w:bookmarkEnd w:id="127"/>
    </w:p>
    <w:p>
      <w:pPr>
        <w:spacing w:after="120" w:line="312"/>
        <w:jc w:val="both"/>
      </w:pPr>
      <w:r>
        <w:rPr>
          <w:rFonts w:ascii="Times New Roman" w:hAnsi="Times New Roman"/>
          <w:color w:val="2B2320"/>
          <w:sz w:val="22"/>
          <w:szCs w:val="22"/>
        </w:rPr>
        <w:t xml:space="preserve">stitch_control.txt and verify_control.txt hold the reference outputs of core stitching and verification. A level script can run an implementation and compare the output with the control — one command, no test framework dependency. The control files are rebuilt only from verdicts; manual editing is excluded by the package validator.</w:t>
      </w:r>
    </w:p>
    <w:p>
      <w:pPr>
        <w:pStyle w:val="Heading2"/>
        <w:spacing w:after="120" w:before="280" w:line="312"/>
      </w:pPr>
      <w:bookmarkStart w:name="_Toc128" w:id="128"/>
      <w:r>
        <w:rPr>
          <w:rFonts w:ascii="Times New Roman" w:hAnsi="Times New Roman"/>
          <w:b/>
          <w:bCs/>
          <w:color w:val="7A5C48"/>
          <w:sz w:val="26"/>
          <w:szCs w:val="26"/>
        </w:rPr>
        <w:t xml:space="preserve">26.3. Julia and Python: two science stacks</w:t>
      </w:r>
      <w:bookmarkEnd w:id="128"/>
    </w:p>
    <w:p>
      <w:pPr>
        <w:spacing w:after="120" w:line="312"/>
        <w:jc w:val="both"/>
      </w:pPr>
      <w:r>
        <w:rPr>
          <w:rFonts w:ascii="Times New Roman" w:hAnsi="Times New Roman"/>
          <w:color w:val="2B2320"/>
          <w:sz w:val="22"/>
          <w:szCs w:val="22"/>
        </w:rPr>
        <w:t xml:space="preserve">The verification platform is written in Julia (BigFloat, standard library); the core and processor pipelines — in Python (mpmath for high-precision references, numpy for replicas). The Julia BigFloat ↔ Python mpmath agreement with 0.0 disagreement is the main replication fact of the program: two ecosystems, two high-precision arithmetics, one result.</w:t>
      </w:r>
    </w:p>
    <w:p>
      <w:pPr>
        <w:pStyle w:val="Heading1"/>
        <w:spacing w:after="160" w:before="360" w:line="312"/>
      </w:pPr>
      <w:bookmarkStart w:name="_Toc129" w:id="129"/>
      <w:r>
        <w:rPr>
          <w:rFonts w:ascii="Times New Roman" w:hAnsi="Times New Roman"/>
          <w:b/>
          <w:bCs/>
          <w:color w:val="2B2320"/>
          <w:sz w:val="32"/>
          <w:szCs w:val="32"/>
        </w:rPr>
        <w:t xml:space="preserve">Chapter 27. The Theorem Layer: Documentation as an Artifact</w:t>
      </w:r>
      <w:bookmarkEnd w:id="129"/>
    </w:p>
    <w:p>
      <w:pPr>
        <w:spacing w:after="160" w:line="312"/>
        <w:jc w:val="both"/>
      </w:pPr>
      <w:r>
        <w:rPr>
          <w:rFonts w:ascii="Times New Roman" w:hAnsi="Times New Roman"/>
          <w:color w:val="7A5C48"/>
          <w:sz w:val="23"/>
          <w:szCs w:val="23"/>
        </w:rPr>
        <w:t xml:space="preserve">Nine theorems are packaged as 36 documents: each has a README with the proof idea, four documents RU/EN × PDF/DOCX, a 2×2 tile figure and a JSON source. Everything is rebuilt by scripts from verdicts.</w:t>
      </w:r>
    </w:p>
    <w:p>
      <w:pPr>
        <w:pStyle w:val="Heading2"/>
        <w:spacing w:after="120" w:before="280" w:line="312"/>
      </w:pPr>
      <w:bookmarkStart w:name="_Toc130" w:id="130"/>
      <w:r>
        <w:rPr>
          <w:rFonts w:ascii="Times New Roman" w:hAnsi="Times New Roman"/>
          <w:b/>
          <w:bCs/>
          <w:color w:val="7A5C48"/>
          <w:sz w:val="26"/>
          <w:szCs w:val="26"/>
        </w:rPr>
        <w:t xml:space="preserve">27.1. The structure of a theorem folder</w:t>
      </w:r>
      <w:bookmarkEnd w:id="130"/>
    </w:p>
    <w:p>
      <w:pPr>
        <w:shd w:fill="FAF6F3" w:val="clear"/>
        <w:spacing w:after="0" w:line="240"/>
        <w:ind w:left="360"/>
        <w:jc w:val="left"/>
      </w:pPr>
      <w:r>
        <w:rPr>
          <w:rFonts w:ascii="Courier New" w:hAnsi="Courier New"/>
          <w:color w:val="2B2320"/>
          <w:sz w:val="15"/>
          <w:szCs w:val="15"/>
        </w:rPr>
        <w:t xml:space="preserve">theorems_lemmas/T04_li_spectral/</w:t>
      </w:r>
    </w:p>
    <w:p>
      <w:pPr>
        <w:shd w:fill="FAF6F3" w:val="clear"/>
        <w:spacing w:after="0" w:line="240"/>
        <w:ind w:left="360"/>
        <w:jc w:val="left"/>
      </w:pPr>
      <w:r>
        <w:rPr>
          <w:rFonts w:ascii="Courier New" w:hAnsi="Courier New"/>
          <w:color w:val="2B2320"/>
          <w:sz w:val="15"/>
          <w:szCs w:val="15"/>
        </w:rPr>
        <w:t xml:space="preserve">├── README.md               proof idea, 4 dimensions, boundaries</w:t>
      </w:r>
    </w:p>
    <w:p>
      <w:pPr>
        <w:shd w:fill="FAF6F3" w:val="clear"/>
        <w:spacing w:after="0" w:line="240"/>
        <w:ind w:left="360"/>
        <w:jc w:val="left"/>
      </w:pPr>
      <w:r>
        <w:rPr>
          <w:rFonts w:ascii="Courier New" w:hAnsi="Courier New"/>
          <w:color w:val="2B2320"/>
          <w:sz w:val="15"/>
          <w:szCs w:val="15"/>
        </w:rPr>
        <w:t xml:space="preserve">├── theorem_th4_ru.pdf      Russian document (PDF)</w:t>
      </w:r>
    </w:p>
    <w:p>
      <w:pPr>
        <w:shd w:fill="FAF6F3" w:val="clear"/>
        <w:spacing w:after="0" w:line="240"/>
        <w:ind w:left="360"/>
        <w:jc w:val="left"/>
      </w:pPr>
      <w:r>
        <w:rPr>
          <w:rFonts w:ascii="Courier New" w:hAnsi="Courier New"/>
          <w:color w:val="2B2320"/>
          <w:sz w:val="15"/>
          <w:szCs w:val="15"/>
        </w:rPr>
        <w:t xml:space="preserve">├── theorem_th4_ru.docx     Russian document (DOCX)</w:t>
      </w:r>
    </w:p>
    <w:p>
      <w:pPr>
        <w:shd w:fill="FAF6F3" w:val="clear"/>
        <w:spacing w:after="0" w:line="240"/>
        <w:ind w:left="360"/>
        <w:jc w:val="left"/>
      </w:pPr>
      <w:r>
        <w:rPr>
          <w:rFonts w:ascii="Courier New" w:hAnsi="Courier New"/>
          <w:color w:val="2B2320"/>
          <w:sz w:val="15"/>
          <w:szCs w:val="15"/>
        </w:rPr>
        <w:t xml:space="preserve">├── theorem_th4_en.pdf      English document (PDF)</w:t>
      </w:r>
    </w:p>
    <w:p>
      <w:pPr>
        <w:shd w:fill="FAF6F3" w:val="clear"/>
        <w:spacing w:after="0" w:line="240"/>
        <w:ind w:left="360"/>
        <w:jc w:val="left"/>
      </w:pPr>
      <w:r>
        <w:rPr>
          <w:rFonts w:ascii="Courier New" w:hAnsi="Courier New"/>
          <w:color w:val="2B2320"/>
          <w:sz w:val="15"/>
          <w:szCs w:val="15"/>
        </w:rPr>
        <w:t xml:space="preserve">├── theorem_th4_en.docx     English document (DOCX)</w:t>
      </w:r>
    </w:p>
    <w:p>
      <w:pPr>
        <w:shd w:fill="FAF6F3" w:val="clear"/>
        <w:spacing w:after="140" w:line="240"/>
        <w:ind w:left="360"/>
        <w:jc w:val="left"/>
      </w:pPr>
      <w:r>
        <w:rPr>
          <w:rFonts w:ascii="Courier New" w:hAnsi="Courier New"/>
          <w:color w:val="2B2320"/>
          <w:sz w:val="15"/>
          <w:szCs w:val="15"/>
        </w:rPr>
        <w:t xml:space="preserve">└── figures/th4_4dim_ru.png, th4_4dim_en.png   2x2 tiles @600 dpi</w:t>
      </w:r>
    </w:p>
    <w:p>
      <w:pPr>
        <w:spacing w:after="120" w:line="312"/>
        <w:jc w:val="both"/>
      </w:pPr>
      <w:r>
        <w:rPr>
          <w:rFonts w:ascii="Times New Roman" w:hAnsi="Times New Roman"/>
          <w:color w:val="2B2320"/>
          <w:sz w:val="22"/>
          <w:szCs w:val="22"/>
        </w:rPr>
        <w:t xml:space="preserve">The JSON sources live in theorems_lemmas/_json/ (Th1_ru.json … Th6_en.json): the single source of truth for documents and tiles. The script scripts/make_theorem_docs.py builds all 24 core documents; the spinor study assembles its 12 documents with the same pattern (research/realtime_spinor_memory/make_theorem_docs.py). Changing a theorem statement means changing the JSON and rebuilding, not editing six files by hand.</w:t>
      </w:r>
    </w:p>
    <w:p>
      <w:pPr>
        <w:pStyle w:val="Heading2"/>
        <w:spacing w:after="120" w:before="280" w:line="312"/>
      </w:pPr>
      <w:bookmarkStart w:name="_Toc131" w:id="131"/>
      <w:r>
        <w:rPr>
          <w:rFonts w:ascii="Times New Roman" w:hAnsi="Times New Roman"/>
          <w:b/>
          <w:bCs/>
          <w:color w:val="7A5C48"/>
          <w:sz w:val="26"/>
          <w:szCs w:val="26"/>
        </w:rPr>
        <w:t xml:space="preserve">27.2. The README as the first page of a proof</w:t>
      </w:r>
      <w:bookmarkEnd w:id="131"/>
    </w:p>
    <w:p>
      <w:pPr>
        <w:spacing w:after="120" w:line="312"/>
        <w:jc w:val="both"/>
      </w:pPr>
      <w:r>
        <w:rPr>
          <w:rFonts w:ascii="Times New Roman" w:hAnsi="Times New Roman"/>
          <w:color w:val="2B2320"/>
          <w:sz w:val="22"/>
          <w:szCs w:val="22"/>
        </w:rPr>
        <w:t xml:space="preserve">A theorem README answers four questions: what is claimed (the exact statement), why it holds (the proof idea in four dimensions: construction, estimate, control, boundary), what is certified (the number and the threshold) and what is not proved (the boundary field). A referee reads the README in five minutes and knows where to look next; the automation checks that the README numbers agree with the JSON.</w:t>
      </w:r>
    </w:p>
    <w:p>
      <w:pPr>
        <w:pStyle w:val="Heading2"/>
        <w:spacing w:after="120" w:before="280" w:line="312"/>
      </w:pPr>
      <w:bookmarkStart w:name="_Toc132" w:id="132"/>
      <w:r>
        <w:rPr>
          <w:rFonts w:ascii="Times New Roman" w:hAnsi="Times New Roman"/>
          <w:b/>
          <w:bCs/>
          <w:color w:val="7A5C48"/>
          <w:sz w:val="26"/>
          <w:szCs w:val="26"/>
        </w:rPr>
        <w:t xml:space="preserve">27.3. The four-dimension tiles</w:t>
      </w:r>
      <w:bookmarkEnd w:id="132"/>
    </w:p>
    <w:p>
      <w:pPr>
        <w:spacing w:after="120" w:line="312"/>
        <w:jc w:val="both"/>
      </w:pPr>
      <w:r>
        <w:rPr>
          <w:rFonts w:ascii="Times New Roman" w:hAnsi="Times New Roman"/>
          <w:color w:val="2B2320"/>
          <w:sz w:val="22"/>
          <w:szCs w:val="22"/>
        </w:rPr>
        <w:t xml:space="preserve">A theorem tile is a 2×2 grid: the metric (the main certificate number), instance behaviour (how the result is distributed over inputs), control (a null or negative control) and the threshold (the pre-registered boundary). The single "Critical Line &amp; Copper" style makes the tiles recognizable and comparable; 600 dpi allows printing them in reports. The tiles are assembled from verdicts by make_tiled_figures.py.</w:t>
      </w:r>
    </w:p>
    <w:p>
      <w:pPr>
        <w:spacing w:after="60" w:before="160"/>
        <w:jc w:val="center"/>
      </w:pPr>
      <w:r>
        <w:drawing>
          <wp:inline distT="0" distB="0" distL="0" distR="0">
            <wp:extent cx="0" cy="3048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0" cy="3048000"/>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27.1. The Th1 tile: Hermiticity and spectral symmetry (600 dpi).</w:t>
      </w:r>
    </w:p>
    <w:p>
      <w:pPr>
        <w:spacing w:after="60" w:before="160"/>
        <w:jc w:val="center"/>
      </w:pPr>
      <w:r>
        <w:drawing>
          <wp:inline distT="0" distB="0" distL="0" distR="0">
            <wp:extent cx="0" cy="3048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0" cy="3048000"/>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27.2. The Th6 tile: trace ↔ primes (600 dpi).</w:t>
      </w:r>
    </w:p>
    <w:p>
      <w:pPr>
        <w:pStyle w:val="Heading1"/>
        <w:spacing w:after="160" w:before="360" w:line="312"/>
      </w:pPr>
      <w:bookmarkStart w:name="_Toc133" w:id="133"/>
      <w:r>
        <w:rPr>
          <w:rFonts w:ascii="Times New Roman" w:hAnsi="Times New Roman"/>
          <w:b/>
          <w:bCs/>
          <w:color w:val="2B2320"/>
          <w:sz w:val="32"/>
          <w:szCs w:val="32"/>
        </w:rPr>
        <w:t xml:space="preserve">Chapter 28. The White Paper, Glossary and Language Discipline</w:t>
      </w:r>
      <w:bookmarkEnd w:id="133"/>
    </w:p>
    <w:p>
      <w:pPr>
        <w:spacing w:after="160" w:line="312"/>
        <w:jc w:val="both"/>
      </w:pPr>
      <w:r>
        <w:rPr>
          <w:rFonts w:ascii="Times New Roman" w:hAnsi="Times New Roman"/>
          <w:color w:val="7A5C48"/>
          <w:sz w:val="23"/>
          <w:szCs w:val="23"/>
        </w:rPr>
        <w:t xml:space="preserve">whitepaper/ holds the bilingual white paper of the program (RU/EN PDF); glossary/ — the bilingual glossary of terms. Both artifacts maintain a single program language: words do not diverge from numbers.</w:t>
      </w:r>
    </w:p>
    <w:p>
      <w:pPr>
        <w:pStyle w:val="Heading2"/>
        <w:spacing w:after="120" w:before="280" w:line="312"/>
      </w:pPr>
      <w:bookmarkStart w:name="_Toc134" w:id="134"/>
      <w:r>
        <w:rPr>
          <w:rFonts w:ascii="Times New Roman" w:hAnsi="Times New Roman"/>
          <w:b/>
          <w:bCs/>
          <w:color w:val="7A5C48"/>
          <w:sz w:val="26"/>
          <w:szCs w:val="26"/>
        </w:rPr>
        <w:t xml:space="preserve">28.1. The white paper</w:t>
      </w:r>
      <w:bookmarkEnd w:id="134"/>
    </w:p>
    <w:p>
      <w:pPr>
        <w:spacing w:after="120" w:line="312"/>
        <w:jc w:val="both"/>
      </w:pPr>
      <w:r>
        <w:rPr>
          <w:rFonts w:ascii="Times New Roman" w:hAnsi="Times New Roman"/>
          <w:color w:val="2B2320"/>
          <w:sz w:val="22"/>
          <w:szCs w:val="22"/>
        </w:rPr>
        <w:t xml:space="preserve">The white paper is a condensed presentation of the program for a first acquaintance: the idea, the levels, the flagships, the honesty discipline, the roadmaps. It is assembled by make_whitepaper.py from the same data as this monograph and serves as a 10–15 page "extract". For a quick entry into the program the recommended sequence is: the white paper → section 3 of this monograph (architecture) → the case studies of chapter 23.</w:t>
      </w:r>
    </w:p>
    <w:p>
      <w:pPr>
        <w:pStyle w:val="Heading2"/>
        <w:spacing w:after="120" w:before="280" w:line="312"/>
      </w:pPr>
      <w:bookmarkStart w:name="_Toc135" w:id="135"/>
      <w:r>
        <w:rPr>
          <w:rFonts w:ascii="Times New Roman" w:hAnsi="Times New Roman"/>
          <w:b/>
          <w:bCs/>
          <w:color w:val="7A5C48"/>
          <w:sz w:val="26"/>
          <w:szCs w:val="26"/>
        </w:rPr>
        <w:t xml:space="preserve">28.2. The glossary</w:t>
      </w:r>
      <w:bookmarkEnd w:id="135"/>
    </w:p>
    <w:p>
      <w:pPr>
        <w:spacing w:after="120" w:line="312"/>
        <w:jc w:val="both"/>
      </w:pPr>
      <w:r>
        <w:rPr>
          <w:rFonts w:ascii="Times New Roman" w:hAnsi="Times New Roman"/>
          <w:color w:val="2B2320"/>
          <w:sz w:val="22"/>
          <w:szCs w:val="22"/>
        </w:rPr>
        <w:t xml:space="preserve">The bilingual glossary fixes the terms of the program: AB cloud, silence zone, obligation machine, four-dimension tile and others. The glossary is not a "general" reference but a dictionary of concrete definitions: each term has a formal definition and a link to the campaign or theorem where it is measured. This removes the main source of misunderstanding between documents: a word always means the same thing.</w:t>
      </w:r>
    </w:p>
    <w:p>
      <w:pPr>
        <w:pStyle w:val="Heading2"/>
        <w:spacing w:after="120" w:before="280" w:line="312"/>
      </w:pPr>
      <w:bookmarkStart w:name="_Toc136" w:id="136"/>
      <w:r>
        <w:rPr>
          <w:rFonts w:ascii="Times New Roman" w:hAnsi="Times New Roman"/>
          <w:b/>
          <w:bCs/>
          <w:color w:val="7A5C48"/>
          <w:sz w:val="26"/>
          <w:szCs w:val="26"/>
        </w:rPr>
        <w:t xml:space="preserve">28.3. The language discipline</w:t>
      </w:r>
      <w:bookmarkEnd w:id="136"/>
    </w:p>
    <w:p>
      <w:pPr>
        <w:spacing w:after="120" w:line="312"/>
        <w:jc w:val="both"/>
      </w:pPr>
      <w:r>
        <w:rPr>
          <w:rFonts w:ascii="Times New Roman" w:hAnsi="Times New Roman"/>
          <w:color w:val="2B2320"/>
          <w:sz w:val="22"/>
          <w:szCs w:val="22"/>
        </w:rPr>
        <w:t xml:space="preserve">The program maintains three language rules: (1) claims rest on verdicts (the V14 audit); (2) terms are defined in the glossary, not redefined on the fly; (3) bilingualism is synchronous — the RU/EN versions of documents are assembled from the same JSON and cannot diverge. This monograph follows the same rules: all terms are checked against the glossary, all claims — against verdicts.</w:t>
      </w:r>
    </w:p>
    <w:p>
      <w:pPr>
        <w:pStyle w:val="Heading1"/>
        <w:spacing w:after="160" w:before="360" w:line="312"/>
      </w:pPr>
      <w:bookmarkStart w:name="_Toc137" w:id="137"/>
      <w:r>
        <w:rPr>
          <w:rFonts w:ascii="Times New Roman" w:hAnsi="Times New Roman"/>
          <w:b/>
          <w:bCs/>
          <w:color w:val="2B2320"/>
          <w:sz w:val="32"/>
          <w:szCs w:val="32"/>
        </w:rPr>
        <w:t xml:space="preserve">Chapter 29. Class B in Practice: the Anatomy of the E18 Benchmark</w:t>
      </w:r>
      <w:bookmarkEnd w:id="137"/>
    </w:p>
    <w:p>
      <w:pPr>
        <w:spacing w:after="160" w:line="312"/>
        <w:jc w:val="both"/>
      </w:pPr>
      <w:r>
        <w:rPr>
          <w:rFonts w:ascii="Times New Roman" w:hAnsi="Times New Roman"/>
          <w:color w:val="7A5C48"/>
          <w:sz w:val="23"/>
          <w:szCs w:val="23"/>
        </w:rPr>
        <w:t xml:space="preserve">A benchmark is a protocol, not a number. This chapter dissects E18 step by step: targets, baselines, class, metrics, replication — and shows how to read the "×59,000" result without self-deception.</w:t>
      </w:r>
    </w:p>
    <w:p>
      <w:pPr>
        <w:pStyle w:val="Heading2"/>
        <w:spacing w:after="120" w:before="280" w:line="312"/>
      </w:pPr>
      <w:bookmarkStart w:name="_Toc138" w:id="138"/>
      <w:r>
        <w:rPr>
          <w:rFonts w:ascii="Times New Roman" w:hAnsi="Times New Roman"/>
          <w:b/>
          <w:bCs/>
          <w:color w:val="7A5C48"/>
          <w:sz w:val="26"/>
          <w:szCs w:val="26"/>
        </w:rPr>
        <w:t xml:space="preserve">29.1. Targets and baselines</w:t>
      </w:r>
      <w:bookmarkEnd w:id="138"/>
    </w:p>
    <w:p>
      <w:pPr>
        <w:spacing w:after="120" w:line="312"/>
        <w:jc w:val="both"/>
      </w:pPr>
      <w:r>
        <w:rPr>
          <w:rFonts w:ascii="Times New Roman" w:hAnsi="Times New Roman"/>
          <w:color w:val="2B2320"/>
          <w:sz w:val="22"/>
          <w:szCs w:val="22"/>
        </w:rPr>
        <w:t xml:space="preserve">E18 compares the V20 compiler with five baselines (BL1–BL5) on a common set of target unitary matrices. The baselines are strong and published: every target has a known achievement outside the class; the class fixes the ISA constraints identically for all. The metrics are infidelity 1−F and time; the thresholds are pre-registered.</w:t>
      </w:r>
    </w:p>
    <w:p>
      <w:pPr>
        <w:pStyle w:val="Heading2"/>
        <w:spacing w:after="120" w:before="280" w:line="312"/>
      </w:pPr>
      <w:bookmarkStart w:name="_Toc139" w:id="139"/>
      <w:r>
        <w:rPr>
          <w:rFonts w:ascii="Times New Roman" w:hAnsi="Times New Roman"/>
          <w:b/>
          <w:bCs/>
          <w:color w:val="7A5C48"/>
          <w:sz w:val="26"/>
          <w:szCs w:val="26"/>
        </w:rPr>
        <w:t xml:space="preserve">29.2. The class and its meaning</w:t>
      </w:r>
      <w:bookmarkEnd w:id="139"/>
    </w:p>
    <w:p>
      <w:pPr>
        <w:spacing w:after="120" w:line="312"/>
        <w:jc w:val="both"/>
      </w:pPr>
      <w:r>
        <w:rPr>
          <w:rFonts w:ascii="Times New Roman" w:hAnsi="Times New Roman"/>
          <w:color w:val="2B2320"/>
          <w:sz w:val="22"/>
          <w:szCs w:val="22"/>
        </w:rPr>
        <w:t xml:space="preserve">Class B means "equal rules": one ISA, one depth budget, one criterion. Without fixing the class a comparison is meaningless: a compiler allowed to do anything will always beat a constrained one. The honest boundary of E18: the KAK optimum of 3 gates for 2q is unreachable in the class (the compiler produces 10), and the verdict publishes this explicitly. Superiority is claimed only within the class — and within the class it is large: ×59,000 in time.</w:t>
      </w:r>
    </w:p>
    <w:p>
      <w:pPr>
        <w:keepNext/>
        <w:spacing w:after="80" w:before="160"/>
        <w:jc w:val="center"/>
      </w:pPr>
      <w:r>
        <w:rPr>
          <w:rFonts w:ascii="Times New Roman" w:hAnsi="Times New Roman"/>
          <w:b/>
          <w:bCs/>
          <w:color w:val="7A5C48"/>
          <w:sz w:val="19"/>
          <w:szCs w:val="19"/>
        </w:rPr>
        <w:t xml:space="preserve">Table 29.1. The E18 outcome</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2708"/>
        <w:gridCol w:w="3069"/>
        <w:gridCol w:w="3249"/>
      </w:tblGrid>
      <w:tr>
        <w:trPr>
          <w:cantSplit/>
          <w:tblHeader/>
        </w:trPr>
        <w:tc>
          <w:tcPr>
            <w:tcW w:type="pct" w:w="15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Indicator</w:t>
            </w:r>
          </w:p>
        </w:tc>
        <w:tc>
          <w:tcPr>
            <w:tcW w:type="pct" w:w="17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Compiler V20</w:t>
            </w:r>
          </w:p>
        </w:tc>
        <w:tc>
          <w:tcPr>
            <w:tcW w:type="pct" w:w="18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Best baseline</w:t>
            </w:r>
          </w:p>
        </w:tc>
      </w:tr>
      <w:tr>
        <w:trPr>
          <w:cantSplit/>
        </w:trPr>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max 1−F</w:t>
            </w:r>
          </w:p>
        </w:tc>
        <w:tc>
          <w:tcPr>
            <w:tcW w:type="pct" w:w="1700"/>
            <w:tcMar>
              <w:top w:type="dxa" w:w="60"/>
              <w:left w:type="dxa" w:w="120"/>
              <w:bottom w:type="dxa" w:w="60"/>
              <w:right w:type="dxa" w:w="120"/>
            </w:tcMar>
          </w:tcPr>
          <w:p>
            <w:pPr>
              <w:spacing w:line="276"/>
            </w:pPr>
            <w:r>
              <w:rPr>
                <w:rFonts w:ascii="Times New Roman" w:hAnsi="Times New Roman"/>
                <w:color w:val="2B2320"/>
                <w:sz w:val="18"/>
                <w:szCs w:val="18"/>
              </w:rPr>
              <w:t xml:space="preserve">4.4e−16</w:t>
            </w:r>
          </w:p>
        </w:tc>
        <w:tc>
          <w:tcPr>
            <w:tcW w:type="pct" w:w="1800"/>
            <w:tcMar>
              <w:top w:type="dxa" w:w="60"/>
              <w:left w:type="dxa" w:w="120"/>
              <w:bottom w:type="dxa" w:w="60"/>
              <w:right w:type="dxa" w:w="120"/>
            </w:tcMar>
          </w:tcPr>
          <w:p>
            <w:pPr>
              <w:spacing w:line="276"/>
            </w:pPr>
            <w:r>
              <w:rPr>
                <w:rFonts w:ascii="Times New Roman" w:hAnsi="Times New Roman"/>
                <w:color w:val="2B2320"/>
                <w:sz w:val="18"/>
                <w:szCs w:val="18"/>
              </w:rPr>
              <w:t xml:space="preserve">comparable</w:t>
            </w:r>
          </w:p>
        </w:tc>
      </w:tr>
      <w:tr>
        <w:trPr>
          <w:cantSplit/>
        </w:trPr>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primitives ≤ BL on targets</w:t>
            </w:r>
          </w:p>
        </w:tc>
        <w:tc>
          <w:tcPr>
            <w:tcW w:type="pct" w:w="1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w:t>
            </w:r>
          </w:p>
        </w:tc>
        <w:tc>
          <w:tcPr>
            <w:tcW w:type="pct" w:w="1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BL1/BL2/BL4</w:t>
            </w:r>
          </w:p>
        </w:tc>
      </w:tr>
      <w:tr>
        <w:trPr>
          <w:cantSplit/>
        </w:trPr>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time (total)</w:t>
            </w:r>
          </w:p>
        </w:tc>
        <w:tc>
          <w:tcPr>
            <w:tcW w:type="pct" w:w="1700"/>
            <w:tcMar>
              <w:top w:type="dxa" w:w="60"/>
              <w:left w:type="dxa" w:w="120"/>
              <w:bottom w:type="dxa" w:w="60"/>
              <w:right w:type="dxa" w:w="120"/>
            </w:tcMar>
          </w:tcPr>
          <w:p>
            <w:pPr>
              <w:spacing w:line="276"/>
            </w:pPr>
            <w:r>
              <w:rPr>
                <w:rFonts w:ascii="Times New Roman" w:hAnsi="Times New Roman"/>
                <w:color w:val="2B2320"/>
                <w:sz w:val="18"/>
                <w:szCs w:val="18"/>
              </w:rPr>
              <w:t xml:space="preserve">baseline</w:t>
            </w:r>
          </w:p>
        </w:tc>
        <w:tc>
          <w:tcPr>
            <w:tcW w:type="pct" w:w="1800"/>
            <w:tcMar>
              <w:top w:type="dxa" w:w="60"/>
              <w:left w:type="dxa" w:w="120"/>
              <w:bottom w:type="dxa" w:w="60"/>
              <w:right w:type="dxa" w:w="120"/>
            </w:tcMar>
          </w:tcPr>
          <w:p>
            <w:pPr>
              <w:spacing w:line="276"/>
            </w:pPr>
            <w:r>
              <w:rPr>
                <w:rFonts w:ascii="Times New Roman" w:hAnsi="Times New Roman"/>
                <w:color w:val="2B2320"/>
                <w:sz w:val="18"/>
                <w:szCs w:val="18"/>
              </w:rPr>
              <w:t xml:space="preserve">×59,000 slower</w:t>
            </w:r>
          </w:p>
        </w:tc>
      </w:tr>
      <w:tr>
        <w:trPr>
          <w:cantSplit/>
        </w:trPr>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2q depth</w:t>
            </w:r>
          </w:p>
        </w:tc>
        <w:tc>
          <w:tcPr>
            <w:tcW w:type="pct" w:w="1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10</w:t>
            </w:r>
          </w:p>
        </w:tc>
        <w:tc>
          <w:tcPr>
            <w:tcW w:type="pct" w:w="1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3 (KAK, outside class)</w:t>
            </w:r>
          </w:p>
        </w:tc>
      </w:tr>
    </w:tbl>
    <w:p>
      <w:pPr>
        <w:spacing w:after="120"/>
      </w:pPr>
    </w:p>
    <w:p>
      <w:pPr>
        <w:pStyle w:val="Heading2"/>
        <w:spacing w:after="120" w:before="280" w:line="312"/>
      </w:pPr>
      <w:bookmarkStart w:name="_Toc140" w:id="140"/>
      <w:r>
        <w:rPr>
          <w:rFonts w:ascii="Times New Roman" w:hAnsi="Times New Roman"/>
          <w:b/>
          <w:bCs/>
          <w:color w:val="7A5C48"/>
          <w:sz w:val="26"/>
          <w:szCs w:val="26"/>
        </w:rPr>
        <w:t xml:space="preserve">29.3. Replication and significance</w:t>
      </w:r>
      <w:bookmarkEnd w:id="140"/>
    </w:p>
    <w:p>
      <w:pPr>
        <w:spacing w:after="120" w:line="312"/>
        <w:jc w:val="both"/>
      </w:pPr>
      <w:r>
        <w:rPr>
          <w:rFonts w:ascii="Times New Roman" w:hAnsi="Times New Roman"/>
          <w:color w:val="2B2320"/>
          <w:sz w:val="22"/>
          <w:szCs w:val="22"/>
        </w:rPr>
        <w:t xml:space="preserve">The numpy replication of E18 gives 0 counter mismatches and |Δ(1−F)| = 2.2e−16: the result does not depend on the stack. For practice the benchmark means: within the ISA class the V20 compiler is the dominant choice in time at equal accuracy; outside the class (the KAK optimum is needed) the class must be extended — and this is fixed in the P5 roadmap.</w:t>
      </w:r>
    </w:p>
    <w:p>
      <w:pPr>
        <w:pStyle w:val="Heading1"/>
        <w:spacing w:after="160" w:before="360" w:line="312"/>
      </w:pPr>
      <w:bookmarkStart w:name="_Toc141" w:id="141"/>
      <w:r>
        <w:rPr>
          <w:rFonts w:ascii="Times New Roman" w:hAnsi="Times New Roman"/>
          <w:b/>
          <w:bCs/>
          <w:color w:val="2B2320"/>
          <w:sz w:val="32"/>
          <w:szCs w:val="32"/>
        </w:rPr>
        <w:t xml:space="preserve">Chapter 30. The Theorems in Detail: Th1–Th6</w:t>
      </w:r>
      <w:bookmarkEnd w:id="141"/>
    </w:p>
    <w:p>
      <w:pPr>
        <w:spacing w:after="160" w:line="312"/>
        <w:jc w:val="both"/>
      </w:pPr>
      <w:r>
        <w:rPr>
          <w:rFonts w:ascii="Times New Roman" w:hAnsi="Times New Roman"/>
          <w:color w:val="7A5C48"/>
          <w:sz w:val="23"/>
          <w:szCs w:val="23"/>
        </w:rPr>
        <w:t xml:space="preserve">Six sections give each core theorem: the exact statement, the proof idea, the certificate and the boundary. The full documents live in theorems_lemmas/; here is the working digest for the monograph reader.</w:t>
      </w:r>
    </w:p>
    <w:p>
      <w:pPr>
        <w:pStyle w:val="Heading2"/>
        <w:spacing w:after="120" w:before="280" w:line="312"/>
      </w:pPr>
      <w:bookmarkStart w:name="_Toc142" w:id="142"/>
      <w:r>
        <w:rPr>
          <w:rFonts w:ascii="Times New Roman" w:hAnsi="Times New Roman"/>
          <w:b/>
          <w:bCs/>
          <w:color w:val="7A5C48"/>
          <w:sz w:val="26"/>
          <w:szCs w:val="26"/>
        </w:rPr>
        <w:t xml:space="preserve">30.1. Th1: Hermiticity and symmetry (V4)</w:t>
      </w:r>
      <w:bookmarkEnd w:id="142"/>
    </w:p>
    <w:p>
      <w:pPr>
        <w:spacing w:after="120" w:line="312"/>
        <w:jc w:val="both"/>
      </w:pPr>
      <w:r>
        <w:rPr>
          <w:rFonts w:ascii="Times New Roman" w:hAnsi="Times New Roman"/>
          <w:b/>
          <w:bCs/>
          <w:color w:val="2B2320"/>
          <w:sz w:val="22"/>
          <w:szCs w:val="22"/>
        </w:rPr>
        <w:t xml:space="preserve">Statement.</w:t>
      </w:r>
      <w:r>
        <w:rPr>
          <w:rFonts w:ascii="Times New Roman" w:hAnsi="Times New Roman"/>
          <w:color w:val="2B2320"/>
          <w:sz w:val="22"/>
          <w:szCs w:val="22"/>
        </w:rPr>
        <w:t xml:space="preserve"> Let H</w:t>
      </w:r>
      <w:r>
        <w:rPr>
          <w:rFonts w:ascii="Times New Roman" w:hAnsi="Times New Roman"/>
          <w:color w:val="2B2320"/>
          <w:sz w:val="22"/>
          <w:szCs w:val="22"/>
          <w:vertAlign w:val="subscript"/>
        </w:rPr>
        <w:t xml:space="preserve">L</w:t>
      </w:r>
      <w:r>
        <w:rPr>
          <w:rFonts w:ascii="Times New Roman" w:hAnsi="Times New Roman"/>
          <w:color w:val="2B2320"/>
          <w:sz w:val="22"/>
          <w:szCs w:val="22"/>
        </w:rPr>
        <w:t xml:space="preserve"> be built by the core rules. Then H</w:t>
      </w:r>
      <w:r>
        <w:rPr>
          <w:rFonts w:ascii="Times New Roman" w:hAnsi="Times New Roman"/>
          <w:color w:val="2B2320"/>
          <w:sz w:val="22"/>
          <w:szCs w:val="22"/>
          <w:vertAlign w:val="subscript"/>
        </w:rPr>
        <w:t xml:space="preserve">L</w:t>
      </w:r>
      <w:r>
        <w:rPr>
          <w:rFonts w:ascii="Times New Roman" w:hAnsi="Times New Roman"/>
          <w:color w:val="2B2320"/>
          <w:sz w:val="22"/>
          <w:szCs w:val="22"/>
        </w:rPr>
        <w:t xml:space="preserve"> = H</w:t>
      </w:r>
      <w:r>
        <w:rPr>
          <w:rFonts w:ascii="Times New Roman" w:hAnsi="Times New Roman"/>
          <w:color w:val="2B2320"/>
          <w:sz w:val="22"/>
          <w:szCs w:val="22"/>
          <w:vertAlign w:val="subscript"/>
        </w:rPr>
        <w:t xml:space="preserve">L</w:t>
      </w:r>
      <w:r>
        <w:rPr>
          <w:rFonts w:ascii="Times New Roman" w:hAnsi="Times New Roman"/>
          <w:color w:val="2B2320"/>
          <w:sz w:val="22"/>
          <w:szCs w:val="22"/>
          <w:vertAlign w:val="superscript"/>
        </w:rPr>
        <w:t xml:space="preserve">†</w:t>
      </w:r>
      <w:r>
        <w:rPr>
          <w:rFonts w:ascii="Times New Roman" w:hAnsi="Times New Roman"/>
          <w:color w:val="2B2320"/>
          <w:sz w:val="22"/>
          <w:szCs w:val="22"/>
        </w:rPr>
        <w:t xml:space="preserve">, the spectrum is real, and at α = ½ with W = 0 the spectrum is symmetric: λ ∈ spec ⟺ −λ ∈ spec. </w:t>
      </w:r>
      <w:r>
        <w:rPr>
          <w:rFonts w:ascii="Times New Roman" w:hAnsi="Times New Roman"/>
          <w:b/>
          <w:bCs/>
          <w:color w:val="2B2320"/>
          <w:sz w:val="22"/>
          <w:szCs w:val="22"/>
        </w:rPr>
        <w:t xml:space="preserve">Idea.</w:t>
      </w:r>
      <w:r>
        <w:rPr>
          <w:rFonts w:ascii="Times New Roman" w:hAnsi="Times New Roman"/>
          <w:color w:val="2B2320"/>
          <w:sz w:val="22"/>
          <w:szCs w:val="22"/>
        </w:rPr>
        <w:t xml:space="preserve"> The operator construction is symmetric under reflection; the matrix is assembled from blocks each Hermitian by construction, and the reflection is realized by a diagonal unitary substitution. </w:t>
      </w:r>
      <w:r>
        <w:rPr>
          <w:rFonts w:ascii="Times New Roman" w:hAnsi="Times New Roman"/>
          <w:b/>
          <w:bCs/>
          <w:color w:val="2B2320"/>
          <w:sz w:val="22"/>
          <w:szCs w:val="22"/>
        </w:rPr>
        <w:t xml:space="preserve">Certificate.</w:t>
      </w:r>
      <w:r>
        <w:rPr>
          <w:rFonts w:ascii="Times New Roman" w:hAnsi="Times New Roman"/>
          <w:color w:val="2B2320"/>
          <w:sz w:val="22"/>
          <w:szCs w:val="22"/>
        </w:rPr>
        <w:t xml:space="preserve"> ‖H − H†‖ = 0.0 exactly. </w:t>
      </w:r>
      <w:r>
        <w:rPr>
          <w:rFonts w:ascii="Times New Roman" w:hAnsi="Times New Roman"/>
          <w:b/>
          <w:bCs/>
          <w:color w:val="2B2320"/>
          <w:sz w:val="22"/>
          <w:szCs w:val="22"/>
        </w:rPr>
        <w:t xml:space="preserve">Boundary.</w:t>
      </w:r>
      <w:r>
        <w:rPr>
          <w:rFonts w:ascii="Times New Roman" w:hAnsi="Times New Roman"/>
          <w:color w:val="2B2320"/>
          <w:sz w:val="22"/>
          <w:szCs w:val="22"/>
        </w:rPr>
        <w:t xml:space="preserve"> The symmetry requires exactly α = ½ and W = 0; deviating parameters destroy it — a discrete image of the functional equation of ζ, not a universal property.</w:t>
      </w:r>
    </w:p>
    <w:p>
      <w:pPr>
        <w:pStyle w:val="Heading2"/>
        <w:spacing w:after="120" w:before="280" w:line="312"/>
      </w:pPr>
      <w:bookmarkStart w:name="_Toc143" w:id="143"/>
      <w:r>
        <w:rPr>
          <w:rFonts w:ascii="Times New Roman" w:hAnsi="Times New Roman"/>
          <w:b/>
          <w:bCs/>
          <w:color w:val="7A5C48"/>
          <w:sz w:val="26"/>
          <w:szCs w:val="26"/>
        </w:rPr>
        <w:t xml:space="preserve">30.2. Th2: self-adjointness and unitary dynamics (V8)</w:t>
      </w:r>
      <w:bookmarkEnd w:id="143"/>
    </w:p>
    <w:p>
      <w:pPr>
        <w:spacing w:after="120" w:line="312"/>
        <w:jc w:val="both"/>
      </w:pPr>
      <w:r>
        <w:rPr>
          <w:rFonts w:ascii="Times New Roman" w:hAnsi="Times New Roman"/>
          <w:b/>
          <w:bCs/>
          <w:color w:val="2B2320"/>
          <w:sz w:val="22"/>
          <w:szCs w:val="22"/>
        </w:rPr>
        <w:t xml:space="preserve">Statement.</w:t>
      </w:r>
      <w:r>
        <w:rPr>
          <w:rFonts w:ascii="Times New Roman" w:hAnsi="Times New Roman"/>
          <w:color w:val="2B2320"/>
          <w:sz w:val="22"/>
          <w:szCs w:val="22"/>
        </w:rPr>
        <w:t xml:space="preserve"> On ℂ</w:t>
      </w:r>
      <w:r>
        <w:rPr>
          <w:rFonts w:ascii="Times New Roman" w:hAnsi="Times New Roman"/>
          <w:color w:val="2B2320"/>
          <w:sz w:val="22"/>
          <w:szCs w:val="22"/>
          <w:vertAlign w:val="superscript"/>
        </w:rPr>
        <w:t xml:space="preserve">N</w:t>
      </w:r>
      <w:r>
        <w:rPr>
          <w:rFonts w:ascii="Times New Roman" w:hAnsi="Times New Roman"/>
          <w:color w:val="2B2320"/>
          <w:sz w:val="22"/>
          <w:szCs w:val="22"/>
        </w:rPr>
        <w:t xml:space="preserve"> the operator H is self-adjoint: defect indices (0, 0); the evolution operator e</w:t>
      </w:r>
      <w:r>
        <w:rPr>
          <w:rFonts w:ascii="Times New Roman" w:hAnsi="Times New Roman"/>
          <w:color w:val="2B2320"/>
          <w:sz w:val="22"/>
          <w:szCs w:val="22"/>
          <w:vertAlign w:val="superscript"/>
        </w:rPr>
        <w:t xml:space="preserve">−iHt</w:t>
      </w:r>
      <w:r>
        <w:rPr>
          <w:rFonts w:ascii="Times New Roman" w:hAnsi="Times New Roman"/>
          <w:color w:val="2B2320"/>
          <w:sz w:val="22"/>
          <w:szCs w:val="22"/>
        </w:rPr>
        <w:t xml:space="preserve"> is unitary for all t. </w:t>
      </w:r>
      <w:r>
        <w:rPr>
          <w:rFonts w:ascii="Times New Roman" w:hAnsi="Times New Roman"/>
          <w:b/>
          <w:bCs/>
          <w:color w:val="2B2320"/>
          <w:sz w:val="22"/>
          <w:szCs w:val="22"/>
        </w:rPr>
        <w:t xml:space="preserve">Idea.</w:t>
      </w:r>
      <w:r>
        <w:rPr>
          <w:rFonts w:ascii="Times New Roman" w:hAnsi="Times New Roman"/>
          <w:color w:val="2B2320"/>
          <w:sz w:val="22"/>
          <w:szCs w:val="22"/>
        </w:rPr>
        <w:t xml:space="preserve"> In finite dimensions self-adjointness coincides with Hermiticity; Th1 gives H = H†, whence (e</w:t>
      </w:r>
      <w:r>
        <w:rPr>
          <w:rFonts w:ascii="Times New Roman" w:hAnsi="Times New Roman"/>
          <w:color w:val="2B2320"/>
          <w:sz w:val="22"/>
          <w:szCs w:val="22"/>
          <w:vertAlign w:val="superscript"/>
        </w:rPr>
        <w:t xml:space="preserve">−iHt</w:t>
      </w:r>
      <w:r>
        <w:rPr>
          <w:rFonts w:ascii="Times New Roman" w:hAnsi="Times New Roman"/>
          <w:color w:val="2B2320"/>
          <w:sz w:val="22"/>
          <w:szCs w:val="22"/>
        </w:rPr>
        <w:t xml:space="preserve">)† e</w:t>
      </w:r>
      <w:r>
        <w:rPr>
          <w:rFonts w:ascii="Times New Roman" w:hAnsi="Times New Roman"/>
          <w:color w:val="2B2320"/>
          <w:sz w:val="22"/>
          <w:szCs w:val="22"/>
          <w:vertAlign w:val="superscript"/>
        </w:rPr>
        <w:t xml:space="preserve">−iHt</w:t>
      </w:r>
      <w:r>
        <w:rPr>
          <w:rFonts w:ascii="Times New Roman" w:hAnsi="Times New Roman"/>
          <w:color w:val="2B2320"/>
          <w:sz w:val="22"/>
          <w:szCs w:val="22"/>
        </w:rPr>
        <w:t xml:space="preserve"> = I. </w:t>
      </w:r>
      <w:r>
        <w:rPr>
          <w:rFonts w:ascii="Times New Roman" w:hAnsi="Times New Roman"/>
          <w:b/>
          <w:bCs/>
          <w:color w:val="2B2320"/>
          <w:sz w:val="22"/>
          <w:szCs w:val="22"/>
        </w:rPr>
        <w:t xml:space="preserve">Certificate.</w:t>
      </w:r>
      <w:r>
        <w:rPr>
          <w:rFonts w:ascii="Times New Roman" w:hAnsi="Times New Roman"/>
          <w:color w:val="2B2320"/>
          <w:sz w:val="22"/>
          <w:szCs w:val="22"/>
        </w:rPr>
        <w:t xml:space="preserve"> Unitarity drift 2.2e−16 on a time grid — machine epsilon. </w:t>
      </w:r>
      <w:r>
        <w:rPr>
          <w:rFonts w:ascii="Times New Roman" w:hAnsi="Times New Roman"/>
          <w:b/>
          <w:bCs/>
          <w:color w:val="2B2320"/>
          <w:sz w:val="22"/>
          <w:szCs w:val="22"/>
        </w:rPr>
        <w:t xml:space="preserve">Boundary.</w:t>
      </w:r>
      <w:r>
        <w:rPr>
          <w:rFonts w:ascii="Times New Roman" w:hAnsi="Times New Roman"/>
          <w:color w:val="2B2320"/>
          <w:sz w:val="22"/>
          <w:szCs w:val="22"/>
        </w:rPr>
        <w:t xml:space="preserve"> The statement is finite-dimensional; the infinite-dimensional limit would require a separate domain theory, which the program does not touch.</w:t>
      </w:r>
    </w:p>
    <w:p>
      <w:pPr>
        <w:pStyle w:val="Heading2"/>
        <w:spacing w:after="120" w:before="280" w:line="312"/>
      </w:pPr>
      <w:bookmarkStart w:name="_Toc144" w:id="144"/>
      <w:r>
        <w:rPr>
          <w:rFonts w:ascii="Times New Roman" w:hAnsi="Times New Roman"/>
          <w:b/>
          <w:bCs/>
          <w:color w:val="7A5C48"/>
          <w:sz w:val="26"/>
          <w:szCs w:val="26"/>
        </w:rPr>
        <w:t xml:space="preserve">30.3. Th3: Kato certificates (V12)</w:t>
      </w:r>
      <w:bookmarkEnd w:id="144"/>
    </w:p>
    <w:p>
      <w:pPr>
        <w:spacing w:after="120" w:line="312"/>
        <w:jc w:val="both"/>
      </w:pPr>
      <w:r>
        <w:rPr>
          <w:rFonts w:ascii="Times New Roman" w:hAnsi="Times New Roman"/>
          <w:b/>
          <w:bCs/>
          <w:color w:val="2B2320"/>
          <w:sz w:val="22"/>
          <w:szCs w:val="22"/>
        </w:rPr>
        <w:t xml:space="preserve">Statement.</w:t>
      </w:r>
      <w:r>
        <w:rPr>
          <w:rFonts w:ascii="Times New Roman" w:hAnsi="Times New Roman"/>
          <w:color w:val="2B2320"/>
          <w:sz w:val="22"/>
          <w:szCs w:val="22"/>
        </w:rPr>
        <w:t xml:space="preserve"> If H̃ = H + δH with ‖δH‖ ≤ δ, then for every simple eigenvalue λ with a gap to the nearest foreign level there is an eigenvalue λ̃ of H̃ with |λ̂ − λ̃| ≤ δ²/gap + (the Gershgorin allowance). </w:t>
      </w:r>
      <w:r>
        <w:rPr>
          <w:rFonts w:ascii="Times New Roman" w:hAnsi="Times New Roman"/>
          <w:b/>
          <w:bCs/>
          <w:color w:val="2B2320"/>
          <w:sz w:val="22"/>
          <w:szCs w:val="22"/>
        </w:rPr>
        <w:t xml:space="preserve">Idea.</w:t>
      </w:r>
      <w:r>
        <w:rPr>
          <w:rFonts w:ascii="Times New Roman" w:hAnsi="Times New Roman"/>
          <w:color w:val="2B2320"/>
          <w:sz w:val="22"/>
          <w:szCs w:val="22"/>
        </w:rPr>
        <w:t xml:space="preserve"> The standard Kato scheme: the first-order perturbation moves λ by δ, the second order gives δ²/gap. </w:t>
      </w:r>
      <w:r>
        <w:rPr>
          <w:rFonts w:ascii="Times New Roman" w:hAnsi="Times New Roman"/>
          <w:b/>
          <w:bCs/>
          <w:color w:val="2B2320"/>
          <w:sz w:val="22"/>
          <w:szCs w:val="22"/>
        </w:rPr>
        <w:t xml:space="preserve">Certificate.</w:t>
      </w:r>
      <w:r>
        <w:rPr>
          <w:rFonts w:ascii="Times New Roman" w:hAnsi="Times New Roman"/>
          <w:color w:val="2B2320"/>
          <w:sz w:val="22"/>
          <w:szCs w:val="22"/>
        </w:rPr>
        <w:t xml:space="preserve"> Corridor widths ~1e−27 at dps 40. </w:t>
      </w:r>
      <w:r>
        <w:rPr>
          <w:rFonts w:ascii="Times New Roman" w:hAnsi="Times New Roman"/>
          <w:b/>
          <w:bCs/>
          <w:color w:val="2B2320"/>
          <w:sz w:val="22"/>
          <w:szCs w:val="22"/>
        </w:rPr>
        <w:t xml:space="preserve">Boundary.</w:t>
      </w:r>
      <w:r>
        <w:rPr>
          <w:rFonts w:ascii="Times New Roman" w:hAnsi="Times New Roman"/>
          <w:color w:val="2B2320"/>
          <w:sz w:val="22"/>
          <w:szCs w:val="22"/>
        </w:rPr>
        <w:t xml:space="preserve"> The estimate is local: for multiple or close levels the gap is small and the corridor widens — the program avoids such regimes or extends the arithmetic.</w:t>
      </w:r>
    </w:p>
    <w:p>
      <w:pPr>
        <w:pStyle w:val="Heading2"/>
        <w:spacing w:after="120" w:before="280" w:line="312"/>
      </w:pPr>
      <w:bookmarkStart w:name="_Toc145" w:id="145"/>
      <w:r>
        <w:rPr>
          <w:rFonts w:ascii="Times New Roman" w:hAnsi="Times New Roman"/>
          <w:b/>
          <w:bCs/>
          <w:color w:val="7A5C48"/>
          <w:sz w:val="26"/>
          <w:szCs w:val="26"/>
        </w:rPr>
        <w:t xml:space="preserve">30.4. Th4: the Li formula (V15)</w:t>
      </w:r>
      <w:bookmarkEnd w:id="145"/>
    </w:p>
    <w:p>
      <w:pPr>
        <w:spacing w:after="120" w:line="312"/>
        <w:jc w:val="both"/>
      </w:pPr>
      <w:r>
        <w:rPr>
          <w:rFonts w:ascii="Times New Roman" w:hAnsi="Times New Roman"/>
          <w:b/>
          <w:bCs/>
          <w:color w:val="2B2320"/>
          <w:sz w:val="22"/>
          <w:szCs w:val="22"/>
        </w:rPr>
        <w:t xml:space="preserve">Statement.</w:t>
      </w:r>
      <w:r>
        <w:rPr>
          <w:rFonts w:ascii="Times New Roman" w:hAnsi="Times New Roman"/>
          <w:color w:val="2B2320"/>
          <w:sz w:val="22"/>
          <w:szCs w:val="22"/>
        </w:rPr>
        <w:t xml:space="preserve"> The functionals λ_n = Tr g_n(H</w:t>
      </w:r>
      <w:r>
        <w:rPr>
          <w:rFonts w:ascii="Times New Roman" w:hAnsi="Times New Roman"/>
          <w:color w:val="2B2320"/>
          <w:sz w:val="22"/>
          <w:szCs w:val="22"/>
          <w:vertAlign w:val="subscript"/>
        </w:rPr>
        <w:t xml:space="preserve">ξ</w:t>
      </w:r>
      <w:r>
        <w:rPr>
          <w:rFonts w:ascii="Times New Roman" w:hAnsi="Times New Roman"/>
          <w:color w:val="2B2320"/>
          <w:sz w:val="22"/>
          <w:szCs w:val="22"/>
        </w:rPr>
        <w:t xml:space="preserve">) are computable, the series converges absolutely, and non-negativity of all λ_n is equivalent to all zeros lying on the critical line. </w:t>
      </w:r>
      <w:r>
        <w:rPr>
          <w:rFonts w:ascii="Times New Roman" w:hAnsi="Times New Roman"/>
          <w:b/>
          <w:bCs/>
          <w:color w:val="2B2320"/>
          <w:sz w:val="22"/>
          <w:szCs w:val="22"/>
        </w:rPr>
        <w:t xml:space="preserve">Idea.</w:t>
      </w:r>
      <w:r>
        <w:rPr>
          <w:rFonts w:ascii="Times New Roman" w:hAnsi="Times New Roman"/>
          <w:color w:val="2B2320"/>
          <w:sz w:val="22"/>
          <w:szCs w:val="22"/>
        </w:rPr>
        <w:t xml:space="preserve"> The functions g_n are chosen so that their Fourier transform is a positive-definite kernel; the trace is then non-negative if and only if the spectrum lies on the line. </w:t>
      </w:r>
      <w:r>
        <w:rPr>
          <w:rFonts w:ascii="Times New Roman" w:hAnsi="Times New Roman"/>
          <w:b/>
          <w:bCs/>
          <w:color w:val="2B2320"/>
          <w:sz w:val="22"/>
          <w:szCs w:val="22"/>
        </w:rPr>
        <w:t xml:space="preserve">Certificate.</w:t>
      </w:r>
      <w:r>
        <w:rPr>
          <w:rFonts w:ascii="Times New Roman" w:hAnsi="Times New Roman"/>
          <w:color w:val="2B2320"/>
          <w:sz w:val="22"/>
          <w:szCs w:val="22"/>
        </w:rPr>
        <w:t xml:space="preserve"> Agreement of two independent computation paths ≤ 4.4e−11. </w:t>
      </w:r>
      <w:r>
        <w:rPr>
          <w:rFonts w:ascii="Times New Roman" w:hAnsi="Times New Roman"/>
          <w:b/>
          <w:bCs/>
          <w:color w:val="2B2320"/>
          <w:sz w:val="22"/>
          <w:szCs w:val="22"/>
        </w:rPr>
        <w:t xml:space="preserve">Boundary.</w:t>
      </w:r>
      <w:r>
        <w:rPr>
          <w:rFonts w:ascii="Times New Roman" w:hAnsi="Times New Roman"/>
          <w:color w:val="2B2320"/>
          <w:sz w:val="22"/>
          <w:szCs w:val="22"/>
        </w:rPr>
        <w:t xml:space="preserve"> Numerical non-negativity of the first λ_n does not prove RH — the V13 machine keeps the conclusion blocked; the Li criterion provides a route of verification, not a result.</w:t>
      </w:r>
    </w:p>
    <w:p>
      <w:pPr>
        <w:pStyle w:val="Heading2"/>
        <w:spacing w:after="120" w:before="280" w:line="312"/>
      </w:pPr>
      <w:bookmarkStart w:name="_Toc146" w:id="146"/>
      <w:r>
        <w:rPr>
          <w:rFonts w:ascii="Times New Roman" w:hAnsi="Times New Roman"/>
          <w:b/>
          <w:bCs/>
          <w:color w:val="7A5C48"/>
          <w:sz w:val="26"/>
          <w:szCs w:val="26"/>
        </w:rPr>
        <w:t xml:space="preserve">30.5. Th5: block reduction (V9)</w:t>
      </w:r>
      <w:bookmarkEnd w:id="146"/>
    </w:p>
    <w:p>
      <w:pPr>
        <w:spacing w:after="120" w:line="312"/>
        <w:jc w:val="both"/>
      </w:pPr>
      <w:r>
        <w:rPr>
          <w:rFonts w:ascii="Times New Roman" w:hAnsi="Times New Roman"/>
          <w:b/>
          <w:bCs/>
          <w:color w:val="2B2320"/>
          <w:sz w:val="22"/>
          <w:szCs w:val="22"/>
        </w:rPr>
        <w:t xml:space="preserve">Statement.</w:t>
      </w:r>
      <w:r>
        <w:rPr>
          <w:rFonts w:ascii="Times New Roman" w:hAnsi="Times New Roman"/>
          <w:color w:val="2B2320"/>
          <w:sz w:val="22"/>
          <w:szCs w:val="22"/>
        </w:rPr>
        <w:t xml:space="preserve"> If [H, A] = [H, B] = 0, the space decomposes into character blocks, H is block-diagonal, and the union of the block spectra coincides with the full spectrum. </w:t>
      </w:r>
      <w:r>
        <w:rPr>
          <w:rFonts w:ascii="Times New Roman" w:hAnsi="Times New Roman"/>
          <w:b/>
          <w:bCs/>
          <w:color w:val="2B2320"/>
          <w:sz w:val="22"/>
          <w:szCs w:val="22"/>
        </w:rPr>
        <w:t xml:space="preserve">Idea.</w:t>
      </w:r>
      <w:r>
        <w:rPr>
          <w:rFonts w:ascii="Times New Roman" w:hAnsi="Times New Roman"/>
          <w:color w:val="2B2320"/>
          <w:sz w:val="22"/>
          <w:szCs w:val="22"/>
        </w:rPr>
        <w:t xml:space="preserve"> Classical representation theory: commuting operators preserve the isotypic components. </w:t>
      </w:r>
      <w:r>
        <w:rPr>
          <w:rFonts w:ascii="Times New Roman" w:hAnsi="Times New Roman"/>
          <w:b/>
          <w:bCs/>
          <w:color w:val="2B2320"/>
          <w:sz w:val="22"/>
          <w:szCs w:val="22"/>
        </w:rPr>
        <w:t xml:space="preserve">Certificate.</w:t>
      </w:r>
      <w:r>
        <w:rPr>
          <w:rFonts w:ascii="Times New Roman" w:hAnsi="Times New Roman"/>
          <w:color w:val="2B2320"/>
          <w:sz w:val="22"/>
          <w:szCs w:val="22"/>
        </w:rPr>
        <w:t xml:space="preserve"> The block union reproduces the spectrum to 7.1e−15. </w:t>
      </w:r>
      <w:r>
        <w:rPr>
          <w:rFonts w:ascii="Times New Roman" w:hAnsi="Times New Roman"/>
          <w:b/>
          <w:bCs/>
          <w:color w:val="2B2320"/>
          <w:sz w:val="22"/>
          <w:szCs w:val="22"/>
        </w:rPr>
        <w:t xml:space="preserve">Boundary.</w:t>
      </w:r>
      <w:r>
        <w:rPr>
          <w:rFonts w:ascii="Times New Roman" w:hAnsi="Times New Roman"/>
          <w:color w:val="2B2320"/>
          <w:sz w:val="22"/>
          <w:szCs w:val="22"/>
        </w:rPr>
        <w:t xml:space="preserve"> Vortex terms break commutation and break the reduction — the condition is essential. Practically, Th5 explains how large spectral problems become parallel without loss of accuracy.</w:t>
      </w:r>
    </w:p>
    <w:p>
      <w:pPr>
        <w:pStyle w:val="Heading2"/>
        <w:spacing w:after="120" w:before="280" w:line="312"/>
      </w:pPr>
      <w:bookmarkStart w:name="_Toc147" w:id="147"/>
      <w:r>
        <w:rPr>
          <w:rFonts w:ascii="Times New Roman" w:hAnsi="Times New Roman"/>
          <w:b/>
          <w:bCs/>
          <w:color w:val="7A5C48"/>
          <w:sz w:val="26"/>
          <w:szCs w:val="26"/>
        </w:rPr>
        <w:t xml:space="preserve">30.6. Th6: the trace carries the primes (V7)</w:t>
      </w:r>
      <w:bookmarkEnd w:id="147"/>
    </w:p>
    <w:p>
      <w:pPr>
        <w:spacing w:after="120" w:line="312"/>
        <w:jc w:val="both"/>
      </w:pPr>
      <w:r>
        <w:rPr>
          <w:rFonts w:ascii="Times New Roman" w:hAnsi="Times New Roman"/>
          <w:b/>
          <w:bCs/>
          <w:color w:val="2B2320"/>
          <w:sz w:val="22"/>
          <w:szCs w:val="22"/>
        </w:rPr>
        <w:t xml:space="preserve">Statement.</w:t>
      </w:r>
      <w:r>
        <w:rPr>
          <w:rFonts w:ascii="Times New Roman" w:hAnsi="Times New Roman"/>
          <w:color w:val="2B2320"/>
          <w:sz w:val="22"/>
          <w:szCs w:val="22"/>
        </w:rPr>
        <w:t xml:space="preserve"> The heat trace K(x) = Tr e</w:t>
      </w:r>
      <w:r>
        <w:rPr>
          <w:rFonts w:ascii="Times New Roman" w:hAnsi="Times New Roman"/>
          <w:color w:val="2B2320"/>
          <w:sz w:val="22"/>
          <w:szCs w:val="22"/>
          <w:vertAlign w:val="superscript"/>
        </w:rPr>
        <w:t xml:space="preserve">−xH_ξ</w:t>
      </w:r>
      <w:r>
        <w:rPr>
          <w:rFonts w:ascii="Times New Roman" w:hAnsi="Times New Roman"/>
          <w:color w:val="2B2320"/>
          <w:sz w:val="22"/>
          <w:szCs w:val="22"/>
        </w:rPr>
        <w:t xml:space="preserve"> admits an expansion whose coefficients carry Λ(n)/√n; the correspondence Q(a) ↔ ζ′/ζ is the Guinand–Weil one. </w:t>
      </w:r>
      <w:r>
        <w:rPr>
          <w:rFonts w:ascii="Times New Roman" w:hAnsi="Times New Roman"/>
          <w:b/>
          <w:bCs/>
          <w:color w:val="2B2320"/>
          <w:sz w:val="22"/>
          <w:szCs w:val="22"/>
        </w:rPr>
        <w:t xml:space="preserve">Idea.</w:t>
      </w:r>
      <w:r>
        <w:rPr>
          <w:rFonts w:ascii="Times New Roman" w:hAnsi="Times New Roman"/>
          <w:color w:val="2B2320"/>
          <w:sz w:val="22"/>
          <w:szCs w:val="22"/>
        </w:rPr>
        <w:t xml:space="preserve"> The Riemann–Weil explicit formula relates the sum over zeros to the sum over primes; the construction of H</w:t>
      </w:r>
      <w:r>
        <w:rPr>
          <w:rFonts w:ascii="Times New Roman" w:hAnsi="Times New Roman"/>
          <w:color w:val="2B2320"/>
          <w:sz w:val="22"/>
          <w:szCs w:val="22"/>
          <w:vertAlign w:val="subscript"/>
        </w:rPr>
        <w:t xml:space="preserve">ξ</w:t>
      </w:r>
      <w:r>
        <w:rPr>
          <w:rFonts w:ascii="Times New Roman" w:hAnsi="Times New Roman"/>
          <w:color w:val="2B2320"/>
          <w:sz w:val="22"/>
          <w:szCs w:val="22"/>
        </w:rPr>
        <w:t xml:space="preserve"> transfers it into spectral language. </w:t>
      </w:r>
      <w:r>
        <w:rPr>
          <w:rFonts w:ascii="Times New Roman" w:hAnsi="Times New Roman"/>
          <w:b/>
          <w:bCs/>
          <w:color w:val="2B2320"/>
          <w:sz w:val="22"/>
          <w:szCs w:val="22"/>
        </w:rPr>
        <w:t xml:space="preserve">Certificate.</w:t>
      </w:r>
      <w:r>
        <w:rPr>
          <w:rFonts w:ascii="Times New Roman" w:hAnsi="Times New Roman"/>
          <w:color w:val="2B2320"/>
          <w:sz w:val="22"/>
          <w:szCs w:val="22"/>
        </w:rPr>
        <w:t xml:space="preserve"> r = 0.9996 against the control 0.76; the B/C₀ erratum found and fixed. </w:t>
      </w:r>
      <w:r>
        <w:rPr>
          <w:rFonts w:ascii="Times New Roman" w:hAnsi="Times New Roman"/>
          <w:b/>
          <w:bCs/>
          <w:color w:val="2B2320"/>
          <w:sz w:val="22"/>
          <w:szCs w:val="22"/>
        </w:rPr>
        <w:t xml:space="preserve">Boundary.</w:t>
      </w:r>
      <w:r>
        <w:rPr>
          <w:rFonts w:ascii="Times New Roman" w:hAnsi="Times New Roman"/>
          <w:color w:val="2B2320"/>
          <w:sz w:val="22"/>
          <w:szCs w:val="22"/>
        </w:rPr>
        <w:t xml:space="preserve"> The trace formula is an arithmetic consistency of the construction, not a proof of RH; the hypotheses of the V13 machine remain.</w:t>
      </w:r>
    </w:p>
    <w:tbl>
      <w:tblPr>
        <w:tblW w:type="pct" w:w="2750"/>
        <w:jc w:val="center"/>
        <w:tblBorders>
          <w:top w:val="single" w:color="C96F4A" w:sz="6"/>
          <w:left w:val="single" w:color="C96F4A" w:sz="6"/>
          <w:bottom w:val="single" w:color="C96F4A" w:sz="6"/>
          <w:right w:val="single" w:color="C96F4A" w:sz="6"/>
          <w:insideH w:val="none" w:color="FFFFFF" w:sz="0"/>
          <w:insideV w:val="none" w:color="FFFFFF" w:sz="0"/>
        </w:tblBorders>
      </w:tblPr>
      <w:tblGrid>
        <w:gridCol w:w="4964"/>
      </w:tblGrid>
      <w:tr>
        <w:trPr>
          <w:cantSplit/>
        </w:trPr>
        <w:tc>
          <w:tcPr>
            <w:shd w:fill="F5EDE8" w:val="clear"/>
            <w:tcMar>
              <w:top w:type="dxa" w:w="120"/>
              <w:left w:type="dxa" w:w="200"/>
              <w:bottom w:type="dxa" w:w="120"/>
              <w:right w:type="dxa" w:w="200"/>
            </w:tcMar>
          </w:tcPr>
          <w:p>
            <w:pPr>
              <w:spacing w:after="40"/>
              <w:jc w:val="center"/>
            </w:pPr>
            <w:r>
              <w:rPr>
                <w:rFonts w:ascii="Times New Roman" w:hAnsi="Times New Roman"/>
                <w:b/>
                <w:bCs/>
                <w:color w:val="C96F4A"/>
                <w:sz w:val="36"/>
                <w:szCs w:val="36"/>
              </w:rPr>
              <w:t xml:space="preserve">6 theorems · 6 reductions</w:t>
            </w:r>
          </w:p>
          <w:p>
            <w:pPr>
              <w:jc w:val="center"/>
            </w:pPr>
            <w:r>
              <w:rPr>
                <w:rFonts w:ascii="Times New Roman" w:hAnsi="Times New Roman"/>
                <w:color w:val="8A8078"/>
                <w:sz w:val="17"/>
                <w:szCs w:val="17"/>
              </w:rPr>
              <w:t xml:space="preserve">A1–A6 in formal/; sorry/admit not used</w:t>
            </w:r>
          </w:p>
        </w:tc>
      </w:tr>
    </w:tbl>
    <w:p>
      <w:pPr>
        <w:spacing w:after="100"/>
      </w:pPr>
    </w:p>
    <w:p>
      <w:pPr>
        <w:pStyle w:val="Heading1"/>
        <w:spacing w:after="160" w:before="360" w:line="312"/>
      </w:pPr>
      <w:bookmarkStart w:name="_Toc148" w:id="148"/>
      <w:r>
        <w:rPr>
          <w:rFonts w:ascii="Times New Roman" w:hAnsi="Times New Roman"/>
          <w:b/>
          <w:bCs/>
          <w:color w:val="2B2320"/>
          <w:sz w:val="32"/>
          <w:szCs w:val="32"/>
        </w:rPr>
        <w:t xml:space="preserve">Chapter 31. The Spinor Theorems in Detail: TS1–TS3</w:t>
      </w:r>
      <w:bookmarkEnd w:id="148"/>
    </w:p>
    <w:p>
      <w:pPr>
        <w:spacing w:after="160" w:line="312"/>
        <w:jc w:val="both"/>
      </w:pPr>
      <w:r>
        <w:rPr>
          <w:rFonts w:ascii="Times New Roman" w:hAnsi="Times New Roman"/>
          <w:color w:val="7A5C48"/>
          <w:sz w:val="23"/>
          <w:szCs w:val="23"/>
        </w:rPr>
        <w:t xml:space="preserve">Three theorems of the volatile state: cycle closure, reset irreversibility, step cost. Together they prove the main real-time claim: volatility is the condition of determinism.</w:t>
      </w:r>
    </w:p>
    <w:p>
      <w:pPr>
        <w:pStyle w:val="Heading2"/>
        <w:spacing w:after="120" w:before="280" w:line="312"/>
      </w:pPr>
      <w:bookmarkStart w:name="_Toc149" w:id="149"/>
      <w:r>
        <w:rPr>
          <w:rFonts w:ascii="Times New Roman" w:hAnsi="Times New Roman"/>
          <w:b/>
          <w:bCs/>
          <w:color w:val="7A5C48"/>
          <w:sz w:val="26"/>
          <w:szCs w:val="26"/>
        </w:rPr>
        <w:t xml:space="preserve">31.1. TS1: closure of phase cycles (ES1)</w:t>
      </w:r>
      <w:bookmarkEnd w:id="149"/>
    </w:p>
    <w:p>
      <w:pPr>
        <w:spacing w:after="120" w:line="312"/>
        <w:jc w:val="both"/>
      </w:pPr>
      <w:r>
        <w:rPr>
          <w:rFonts w:ascii="Times New Roman" w:hAnsi="Times New Roman"/>
          <w:b/>
          <w:bCs/>
          <w:color w:val="2B2320"/>
          <w:sz w:val="22"/>
          <w:szCs w:val="22"/>
        </w:rPr>
        <w:t xml:space="preserve">Statement.</w:t>
      </w:r>
      <w:r>
        <w:rPr>
          <w:rFonts w:ascii="Times New Roman" w:hAnsi="Times New Roman"/>
          <w:color w:val="2B2320"/>
          <w:sz w:val="22"/>
          <w:szCs w:val="22"/>
        </w:rPr>
        <w:t xml:space="preserve"> For the model with phase θ = π/k the rotation closes exactly after N = 2k steps; the gap between neighbouring distinguishable states equals 2π/N. </w:t>
      </w:r>
      <w:r>
        <w:rPr>
          <w:rFonts w:ascii="Times New Roman" w:hAnsi="Times New Roman"/>
          <w:b/>
          <w:bCs/>
          <w:color w:val="2B2320"/>
          <w:sz w:val="22"/>
          <w:szCs w:val="22"/>
        </w:rPr>
        <w:t xml:space="preserve">Idea.</w:t>
      </w:r>
      <w:r>
        <w:rPr>
          <w:rFonts w:ascii="Times New Roman" w:hAnsi="Times New Roman"/>
          <w:color w:val="2B2320"/>
          <w:sz w:val="22"/>
          <w:szCs w:val="22"/>
        </w:rPr>
        <w:t xml:space="preserve"> A rotation by π/k has order 2k in the rotation group of the circle; distinguishability of states is given by the silence zone. </w:t>
      </w:r>
      <w:r>
        <w:rPr>
          <w:rFonts w:ascii="Times New Roman" w:hAnsi="Times New Roman"/>
          <w:b/>
          <w:bCs/>
          <w:color w:val="2B2320"/>
          <w:sz w:val="22"/>
          <w:szCs w:val="22"/>
        </w:rPr>
        <w:t xml:space="preserve">Certificate.</w:t>
      </w:r>
      <w:r>
        <w:rPr>
          <w:rFonts w:ascii="Times New Roman" w:hAnsi="Times New Roman"/>
          <w:color w:val="2B2320"/>
          <w:sz w:val="22"/>
          <w:szCs w:val="22"/>
        </w:rPr>
        <w:t xml:space="preserve"> The periods 4, 6, 14 — exact for the three models. </w:t>
      </w:r>
      <w:r>
        <w:rPr>
          <w:rFonts w:ascii="Times New Roman" w:hAnsi="Times New Roman"/>
          <w:b/>
          <w:bCs/>
          <w:color w:val="2B2320"/>
          <w:sz w:val="22"/>
          <w:szCs w:val="22"/>
        </w:rPr>
        <w:t xml:space="preserve">Boundary.</w:t>
      </w:r>
      <w:r>
        <w:rPr>
          <w:rFonts w:ascii="Times New Roman" w:hAnsi="Times New Roman"/>
          <w:color w:val="2B2320"/>
          <w:sz w:val="22"/>
          <w:szCs w:val="22"/>
        </w:rPr>
        <w:t xml:space="preserve"> The capacity log₂N grows with k but the silence zone shrinks as 1/k — the trade-off is fixed as an honest boundary.</w:t>
      </w:r>
    </w:p>
    <w:p>
      <w:pPr>
        <w:pStyle w:val="Heading2"/>
        <w:spacing w:after="120" w:before="280" w:line="312"/>
      </w:pPr>
      <w:bookmarkStart w:name="_Toc150" w:id="150"/>
      <w:r>
        <w:rPr>
          <w:rFonts w:ascii="Times New Roman" w:hAnsi="Times New Roman"/>
          <w:b/>
          <w:bCs/>
          <w:color w:val="7A5C48"/>
          <w:sz w:val="26"/>
          <w:szCs w:val="26"/>
        </w:rPr>
        <w:t xml:space="preserve">31.2. TS2: irreversibility of reset (ES2)</w:t>
      </w:r>
      <w:bookmarkEnd w:id="150"/>
    </w:p>
    <w:p>
      <w:pPr>
        <w:spacing w:after="120" w:line="312"/>
        <w:jc w:val="both"/>
      </w:pPr>
      <w:r>
        <w:rPr>
          <w:rFonts w:ascii="Times New Roman" w:hAnsi="Times New Roman"/>
          <w:b/>
          <w:bCs/>
          <w:color w:val="2B2320"/>
          <w:sz w:val="22"/>
          <w:szCs w:val="22"/>
        </w:rPr>
        <w:t xml:space="preserve">Statement.</w:t>
      </w:r>
      <w:r>
        <w:rPr>
          <w:rFonts w:ascii="Times New Roman" w:hAnsi="Times New Roman"/>
          <w:color w:val="2B2320"/>
          <w:sz w:val="22"/>
          <w:szCs w:val="22"/>
        </w:rPr>
        <w:t xml:space="preserve"> A phase reset erases all information: I(pre;post) = 0; the best reconstruction of the pre-state from the post-state does not exceed 1/N; time after the reset is defined only modulo N. </w:t>
      </w:r>
      <w:r>
        <w:rPr>
          <w:rFonts w:ascii="Times New Roman" w:hAnsi="Times New Roman"/>
          <w:b/>
          <w:bCs/>
          <w:color w:val="2B2320"/>
          <w:sz w:val="22"/>
          <w:szCs w:val="22"/>
        </w:rPr>
        <w:t xml:space="preserve">Idea.</w:t>
      </w:r>
      <w:r>
        <w:rPr>
          <w:rFonts w:ascii="Times New Roman" w:hAnsi="Times New Roman"/>
          <w:color w:val="2B2320"/>
          <w:sz w:val="22"/>
          <w:szCs w:val="22"/>
        </w:rPr>
        <w:t xml:space="preserve"> The post-state is a constant; the mutual information with any random variable is zero; the uniform distribution gives 1/N. </w:t>
      </w:r>
      <w:r>
        <w:rPr>
          <w:rFonts w:ascii="Times New Roman" w:hAnsi="Times New Roman"/>
          <w:b/>
          <w:bCs/>
          <w:color w:val="2B2320"/>
          <w:sz w:val="22"/>
          <w:szCs w:val="22"/>
        </w:rPr>
        <w:t xml:space="preserve">Certificate.</w:t>
      </w:r>
      <w:r>
        <w:rPr>
          <w:rFonts w:ascii="Times New Roman" w:hAnsi="Times New Roman"/>
          <w:color w:val="2B2320"/>
          <w:sz w:val="22"/>
          <w:szCs w:val="22"/>
        </w:rPr>
        <w:t xml:space="preserve"> Reconstruction 0.2501/0.1674/0.0717 ≈ 1/N for N = 4/6/14. </w:t>
      </w:r>
      <w:r>
        <w:rPr>
          <w:rFonts w:ascii="Times New Roman" w:hAnsi="Times New Roman"/>
          <w:b/>
          <w:bCs/>
          <w:color w:val="2B2320"/>
          <w:sz w:val="22"/>
          <w:szCs w:val="22"/>
        </w:rPr>
        <w:t xml:space="preserve">Boundary.</w:t>
      </w:r>
      <w:r>
        <w:rPr>
          <w:rFonts w:ascii="Times New Roman" w:hAnsi="Times New Roman"/>
          <w:color w:val="2B2320"/>
          <w:sz w:val="22"/>
          <w:szCs w:val="22"/>
        </w:rPr>
        <w:t xml:space="preserve"> The statement is about an ideal reset; real erasure channels add a contribution measured by ES5.</w:t>
      </w:r>
    </w:p>
    <w:p>
      <w:pPr>
        <w:pStyle w:val="Heading2"/>
        <w:spacing w:after="120" w:before="280" w:line="312"/>
      </w:pPr>
      <w:bookmarkStart w:name="_Toc151" w:id="151"/>
      <w:r>
        <w:rPr>
          <w:rFonts w:ascii="Times New Roman" w:hAnsi="Times New Roman"/>
          <w:b/>
          <w:bCs/>
          <w:color w:val="7A5C48"/>
          <w:sz w:val="26"/>
          <w:szCs w:val="26"/>
        </w:rPr>
        <w:t xml:space="preserve">31.3. TS3: O(1) steps versus the Ω(t) log (ES3)</w:t>
      </w:r>
      <w:bookmarkEnd w:id="151"/>
    </w:p>
    <w:p>
      <w:pPr>
        <w:spacing w:after="120" w:line="312"/>
        <w:jc w:val="both"/>
      </w:pPr>
      <w:r>
        <w:rPr>
          <w:rFonts w:ascii="Times New Roman" w:hAnsi="Times New Roman"/>
          <w:b/>
          <w:bCs/>
          <w:color w:val="2B2320"/>
          <w:sz w:val="22"/>
          <w:szCs w:val="22"/>
        </w:rPr>
        <w:t xml:space="preserve">Statement.</w:t>
      </w:r>
      <w:r>
        <w:rPr>
          <w:rFonts w:ascii="Times New Roman" w:hAnsi="Times New Roman"/>
          <w:color w:val="2B2320"/>
          <w:sz w:val="22"/>
          <w:szCs w:val="22"/>
        </w:rPr>
        <w:t xml:space="preserve"> The step cost of the memoryless machine is bounded by a constant independent of the process age; the eternal-log machine carries Ω(t) overhead and misses deadlines. </w:t>
      </w:r>
      <w:r>
        <w:rPr>
          <w:rFonts w:ascii="Times New Roman" w:hAnsi="Times New Roman"/>
          <w:b/>
          <w:bCs/>
          <w:color w:val="2B2320"/>
          <w:sz w:val="22"/>
          <w:szCs w:val="22"/>
        </w:rPr>
        <w:t xml:space="preserve">Idea.</w:t>
      </w:r>
      <w:r>
        <w:rPr>
          <w:rFonts w:ascii="Times New Roman" w:hAnsi="Times New Roman"/>
          <w:color w:val="2B2320"/>
          <w:sz w:val="22"/>
          <w:szCs w:val="22"/>
        </w:rPr>
        <w:t xml:space="preserve"> The lower bound: recording the t-th step requires Θ(t) total work; reading without recording is O(1) by construction. </w:t>
      </w:r>
      <w:r>
        <w:rPr>
          <w:rFonts w:ascii="Times New Roman" w:hAnsi="Times New Roman"/>
          <w:b/>
          <w:bCs/>
          <w:color w:val="2B2320"/>
          <w:sz w:val="22"/>
          <w:szCs w:val="22"/>
        </w:rPr>
        <w:t xml:space="preserve">Certificate.</w:t>
      </w:r>
      <w:r>
        <w:rPr>
          <w:rFonts w:ascii="Times New Roman" w:hAnsi="Times New Roman"/>
          <w:color w:val="2B2320"/>
          <w:sz w:val="22"/>
          <w:szCs w:val="22"/>
        </w:rPr>
        <w:t xml:space="preserve"> Slope −1.5e−12 ms/step (zero); log growth ×129. </w:t>
      </w:r>
      <w:r>
        <w:rPr>
          <w:rFonts w:ascii="Times New Roman" w:hAnsi="Times New Roman"/>
          <w:b/>
          <w:bCs/>
          <w:color w:val="2B2320"/>
          <w:sz w:val="22"/>
          <w:szCs w:val="22"/>
        </w:rPr>
        <w:t xml:space="preserve">Boundary.</w:t>
      </w:r>
      <w:r>
        <w:rPr>
          <w:rFonts w:ascii="Times New Roman" w:hAnsi="Times New Roman"/>
          <w:color w:val="2B2320"/>
          <w:sz w:val="22"/>
          <w:szCs w:val="22"/>
        </w:rPr>
        <w:t xml:space="preserve"> The statement is about hard real time: a "deadline" means a guaranteed per-step budget; soft systems may choose a compromise, but not inside a hard loop.</w:t>
      </w:r>
    </w:p>
    <w:p>
      <w:pPr>
        <w:keepNext/>
        <w:spacing w:after="80" w:before="160"/>
        <w:jc w:val="center"/>
      </w:pPr>
      <w:r>
        <w:rPr>
          <w:rFonts w:ascii="Times New Roman" w:hAnsi="Times New Roman"/>
          <w:b/>
          <w:bCs/>
          <w:color w:val="7A5C48"/>
          <w:sz w:val="19"/>
          <w:szCs w:val="19"/>
        </w:rPr>
        <w:t xml:space="preserve">Table 31.1. Summary TS1–TS3</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903"/>
        <w:gridCol w:w="3430"/>
        <w:gridCol w:w="2347"/>
        <w:gridCol w:w="2347"/>
      </w:tblGrid>
      <w:tr>
        <w:trPr>
          <w:cantSplit/>
          <w:tblHeader/>
        </w:trPr>
        <w:tc>
          <w:tcPr>
            <w:tcW w:type="pct" w:w="5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Theorem</w:t>
            </w:r>
          </w:p>
        </w:tc>
        <w:tc>
          <w:tcPr>
            <w:tcW w:type="pct" w:w="19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Statement</w:t>
            </w:r>
          </w:p>
        </w:tc>
        <w:tc>
          <w:tcPr>
            <w:tcW w:type="pct" w:w="13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Certificate</w:t>
            </w:r>
          </w:p>
        </w:tc>
        <w:tc>
          <w:tcPr>
            <w:tcW w:type="pct" w:w="13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Boundary</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TS1</w:t>
            </w:r>
          </w:p>
        </w:tc>
        <w:tc>
          <w:tcPr>
            <w:tcW w:type="pct" w:w="1900"/>
            <w:tcMar>
              <w:top w:type="dxa" w:w="60"/>
              <w:left w:type="dxa" w:w="120"/>
              <w:bottom w:type="dxa" w:w="60"/>
              <w:right w:type="dxa" w:w="120"/>
            </w:tcMar>
          </w:tcPr>
          <w:p>
            <w:pPr>
              <w:spacing w:line="276"/>
            </w:pPr>
            <w:r>
              <w:rPr>
                <w:rFonts w:ascii="Times New Roman" w:hAnsi="Times New Roman"/>
                <w:color w:val="2B2320"/>
                <w:sz w:val="18"/>
                <w:szCs w:val="18"/>
              </w:rPr>
              <w:t xml:space="preserve">the cycle closes after N = 2k; gap 2π/N</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4/6/14 exactly</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capacity ↔ robustness 1/k</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TS2</w:t>
            </w:r>
          </w:p>
        </w:tc>
        <w:tc>
          <w:tcPr>
            <w:tcW w:type="pct" w:w="19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reset: I = 0; reconstruction ≤ 1/N</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0.2501/0.1674/0.0717</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ideal reset</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TS3</w:t>
            </w:r>
          </w:p>
        </w:tc>
        <w:tc>
          <w:tcPr>
            <w:tcW w:type="pct" w:w="1900"/>
            <w:tcMar>
              <w:top w:type="dxa" w:w="60"/>
              <w:left w:type="dxa" w:w="120"/>
              <w:bottom w:type="dxa" w:w="60"/>
              <w:right w:type="dxa" w:w="120"/>
            </w:tcMar>
          </w:tcPr>
          <w:p>
            <w:pPr>
              <w:spacing w:line="276"/>
            </w:pPr>
            <w:r>
              <w:rPr>
                <w:rFonts w:ascii="Times New Roman" w:hAnsi="Times New Roman"/>
                <w:color w:val="2B2320"/>
                <w:sz w:val="18"/>
                <w:szCs w:val="18"/>
              </w:rPr>
              <w:t xml:space="preserve">O(1) steps; the log is Ω(t)</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slope −1.5e−12; ×129</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hard real time</w:t>
            </w:r>
          </w:p>
        </w:tc>
      </w:tr>
    </w:tbl>
    <w:p>
      <w:pPr>
        <w:spacing w:after="120"/>
      </w:pPr>
    </w:p>
    <w:p>
      <w:pPr>
        <w:pStyle w:val="Heading1"/>
        <w:spacing w:after="160" w:before="360" w:line="312"/>
      </w:pPr>
      <w:bookmarkStart w:name="_Toc152" w:id="152"/>
      <w:r>
        <w:rPr>
          <w:rFonts w:ascii="Times New Roman" w:hAnsi="Times New Roman"/>
          <w:b/>
          <w:bCs/>
          <w:color w:val="2B2320"/>
          <w:sz w:val="32"/>
          <w:szCs w:val="32"/>
        </w:rPr>
        <w:t xml:space="preserve">Chapter 32. The Timeline: How the Program Reached Its Result</w:t>
      </w:r>
      <w:bookmarkEnd w:id="152"/>
    </w:p>
    <w:p>
      <w:pPr>
        <w:spacing w:after="160" w:line="312"/>
        <w:jc w:val="both"/>
      </w:pPr>
      <w:r>
        <w:rPr>
          <w:rFonts w:ascii="Times New Roman" w:hAnsi="Times New Roman"/>
          <w:color w:val="7A5C48"/>
          <w:sz w:val="23"/>
          <w:szCs w:val="23"/>
        </w:rPr>
        <w:t xml:space="preserve">The timeline of 43 campaigns is not decoration but a map of decisions: what was checked first, what followed from negative results, how the levels chained. This chapter retells the curve of the program from datasets/campaign_timeline.csv.</w:t>
      </w:r>
    </w:p>
    <w:p>
      <w:pPr>
        <w:pStyle w:val="Heading2"/>
        <w:spacing w:after="120" w:before="280" w:line="312"/>
      </w:pPr>
      <w:bookmarkStart w:name="_Toc153" w:id="153"/>
      <w:r>
        <w:rPr>
          <w:rFonts w:ascii="Times New Roman" w:hAnsi="Times New Roman"/>
          <w:b/>
          <w:bCs/>
          <w:color w:val="7A5C48"/>
          <w:sz w:val="26"/>
          <w:szCs w:val="26"/>
        </w:rPr>
        <w:t xml:space="preserve">32.1. Wave 1: construction and its boundaries (V01–V06)</w:t>
      </w:r>
      <w:bookmarkEnd w:id="153"/>
    </w:p>
    <w:p>
      <w:pPr>
        <w:spacing w:after="120" w:line="312"/>
        <w:jc w:val="both"/>
      </w:pPr>
      <w:r>
        <w:rPr>
          <w:rFonts w:ascii="Times New Roman" w:hAnsi="Times New Roman"/>
          <w:color w:val="2B2320"/>
          <w:sz w:val="22"/>
          <w:szCs w:val="22"/>
        </w:rPr>
        <w:t xml:space="preserve">The program began with an honest question: what does the operator construction give? V01 immediately recorded the dual answer — the statistics agree, individual ordinates are not predicted. V02 calibrated the GUE expectations, V03–V06 closed the lattice direction with three negative verdicts. By the end of the first wave the program knew its boundaries better than most programs know their achievements.</w:t>
      </w:r>
    </w:p>
    <w:p>
      <w:pPr>
        <w:pStyle w:val="Heading2"/>
        <w:spacing w:after="120" w:before="280" w:line="312"/>
      </w:pPr>
      <w:bookmarkStart w:name="_Toc154" w:id="154"/>
      <w:r>
        <w:rPr>
          <w:rFonts w:ascii="Times New Roman" w:hAnsi="Times New Roman"/>
          <w:b/>
          <w:bCs/>
          <w:color w:val="7A5C48"/>
          <w:sz w:val="26"/>
          <w:szCs w:val="26"/>
        </w:rPr>
        <w:t xml:space="preserve">32.2. Wave 2: arithmetic and trust (V07–V14)</w:t>
      </w:r>
      <w:bookmarkEnd w:id="154"/>
    </w:p>
    <w:p>
      <w:pPr>
        <w:spacing w:after="120" w:line="312"/>
        <w:jc w:val="both"/>
      </w:pPr>
      <w:r>
        <w:rPr>
          <w:rFonts w:ascii="Times New Roman" w:hAnsi="Times New Roman"/>
          <w:color w:val="2B2320"/>
          <w:sz w:val="22"/>
          <w:szCs w:val="22"/>
        </w:rPr>
        <w:t xml:space="preserve">V7 brought the main arithmetic result: the trace carries Λ(n)/√n, r = 0.9996. V8–V10 added correctness certificates. V11–V13 built the obligation machine — from the DAG draft to the executable blocking of RH. V14 closed the loop with the claim audit. The trust wave ended with the program able to speak about itself only in terms of statuses.</w:t>
      </w:r>
    </w:p>
    <w:p>
      <w:pPr>
        <w:pStyle w:val="Heading2"/>
        <w:spacing w:after="120" w:before="280" w:line="312"/>
      </w:pPr>
      <w:bookmarkStart w:name="_Toc155" w:id="155"/>
      <w:r>
        <w:rPr>
          <w:rFonts w:ascii="Times New Roman" w:hAnsi="Times New Roman"/>
          <w:b/>
          <w:bCs/>
          <w:color w:val="7A5C48"/>
          <w:sz w:val="26"/>
          <w:szCs w:val="26"/>
        </w:rPr>
        <w:t xml:space="preserve">32.3. Wave 3: behaviour and stitching (V15–V19)</w:t>
      </w:r>
      <w:bookmarkEnd w:id="155"/>
    </w:p>
    <w:p>
      <w:pPr>
        <w:spacing w:after="120" w:line="312"/>
        <w:jc w:val="both"/>
      </w:pPr>
      <w:r>
        <w:rPr>
          <w:rFonts w:ascii="Times New Roman" w:hAnsi="Times New Roman"/>
          <w:color w:val="2B2320"/>
          <w:sz w:val="22"/>
          <w:szCs w:val="22"/>
        </w:rPr>
        <w:t xml:space="preserve">V15 delivered the Li formula — the spectral criterion of the line. V16 repeated the lattice negative on a new construction. V17–V18 showed that reading is idempotent and cheap on any horizon. V19 stitched the branches with coherence 0.9995 — the algebraic certificate that completed the core.</w:t>
      </w:r>
    </w:p>
    <w:p>
      <w:pPr>
        <w:pStyle w:val="Heading2"/>
        <w:spacing w:after="120" w:before="280" w:line="312"/>
      </w:pPr>
      <w:bookmarkStart w:name="_Toc156" w:id="156"/>
      <w:r>
        <w:rPr>
          <w:rFonts w:ascii="Times New Roman" w:hAnsi="Times New Roman"/>
          <w:b/>
          <w:bCs/>
          <w:color w:val="7A5C48"/>
          <w:sz w:val="26"/>
          <w:szCs w:val="26"/>
        </w:rPr>
        <w:t xml:space="preserve">32.4. Wave 4: processor and verification (V20, E01–E18)</w:t>
      </w:r>
      <w:bookmarkEnd w:id="156"/>
    </w:p>
    <w:p>
      <w:pPr>
        <w:spacing w:after="120" w:line="312"/>
        <w:jc w:val="both"/>
      </w:pPr>
      <w:r>
        <w:rPr>
          <w:rFonts w:ascii="Times New Roman" w:hAnsi="Times New Roman"/>
          <w:color w:val="2B2320"/>
          <w:sz w:val="22"/>
          <w:szCs w:val="22"/>
        </w:rPr>
        <w:t xml:space="preserve">V20 executed P0: exact compilation at the arithmetic limit. In parallel the verification platform went from controls (E01–E10) through the blind reader (E11), optics and nonlocality (E12–E14) to the flagships: the independent Riemann–Siegel (E16), the blind reading of 649+639 zeros (E17), and class B with ×59,000 (E18).</w:t>
      </w:r>
    </w:p>
    <w:p>
      <w:pPr>
        <w:pStyle w:val="Heading2"/>
        <w:spacing w:after="120" w:before="280" w:line="312"/>
      </w:pPr>
      <w:bookmarkStart w:name="_Toc157" w:id="157"/>
      <w:r>
        <w:rPr>
          <w:rFonts w:ascii="Times New Roman" w:hAnsi="Times New Roman"/>
          <w:b/>
          <w:bCs/>
          <w:color w:val="7A5C48"/>
          <w:sz w:val="26"/>
          <w:szCs w:val="26"/>
        </w:rPr>
        <w:t xml:space="preserve">32.5. Wave 5: volatility (ES1–ES5)</w:t>
      </w:r>
      <w:bookmarkEnd w:id="157"/>
    </w:p>
    <w:p>
      <w:pPr>
        <w:spacing w:after="120" w:line="312"/>
        <w:jc w:val="both"/>
      </w:pPr>
      <w:r>
        <w:rPr>
          <w:rFonts w:ascii="Times New Roman" w:hAnsi="Times New Roman"/>
          <w:color w:val="2B2320"/>
          <w:sz w:val="22"/>
          <w:szCs w:val="22"/>
        </w:rPr>
        <w:t xml:space="preserve">The spinor study closed the program: cycles exact, reset irreversible, O(1) steps against the Ω(t) log. Five PASS verdicts and two published threshold errata — the discipline held to the last campaign.</w:t>
      </w:r>
    </w:p>
    <w:p>
      <w:pPr>
        <w:spacing w:after="60" w:before="160"/>
        <w:jc w:val="center"/>
      </w:pPr>
      <w:r>
        <w:drawing>
          <wp:inline distT="0" distB="0" distL="0" distR="0">
            <wp:extent cx="0" cy="4191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0" cy="4191000"/>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32.1. The timeline of 43 campaigns: five waves of the program (600 dpi).</w:t>
      </w:r>
    </w:p>
    <w:p>
      <w:pPr>
        <w:pStyle w:val="Heading1"/>
        <w:spacing w:after="160" w:before="360" w:line="312"/>
      </w:pPr>
      <w:bookmarkStart w:name="_Toc158" w:id="158"/>
      <w:r>
        <w:rPr>
          <w:rFonts w:ascii="Times New Roman" w:hAnsi="Times New Roman"/>
          <w:b/>
          <w:bCs/>
          <w:color w:val="2B2320"/>
          <w:sz w:val="32"/>
          <w:szCs w:val="32"/>
        </w:rPr>
        <w:t xml:space="preserve">Chapter 33. Reproducibility Pipelines</w:t>
      </w:r>
      <w:bookmarkEnd w:id="158"/>
    </w:p>
    <w:p>
      <w:pPr>
        <w:spacing w:after="160" w:line="312"/>
        <w:jc w:val="both"/>
      </w:pPr>
      <w:r>
        <w:rPr>
          <w:rFonts w:ascii="Times New Roman" w:hAnsi="Times New Roman"/>
          <w:color w:val="7A5C48"/>
          <w:sz w:val="23"/>
          <w:szCs w:val="23"/>
        </w:rPr>
        <w:t xml:space="preserve">Every derived artifact of the program is rebuilt by a single command. This chapter describes the pipelines: what builds from what, in which order to run, how integrity is verified.</w:t>
      </w:r>
    </w:p>
    <w:p>
      <w:pPr>
        <w:pStyle w:val="Heading2"/>
        <w:spacing w:after="120" w:before="280" w:line="312"/>
      </w:pPr>
      <w:bookmarkStart w:name="_Toc159" w:id="159"/>
      <w:r>
        <w:rPr>
          <w:rFonts w:ascii="Times New Roman" w:hAnsi="Times New Roman"/>
          <w:b/>
          <w:bCs/>
          <w:color w:val="7A5C48"/>
          <w:sz w:val="26"/>
          <w:szCs w:val="26"/>
        </w:rPr>
        <w:t xml:space="preserve">33.1. The pipeline map</w:t>
      </w:r>
      <w:bookmarkEnd w:id="159"/>
    </w:p>
    <w:p>
      <w:pPr>
        <w:keepNext/>
        <w:spacing w:after="80" w:before="160"/>
        <w:jc w:val="center"/>
      </w:pPr>
      <w:r>
        <w:rPr>
          <w:rFonts w:ascii="Times New Roman" w:hAnsi="Times New Roman"/>
          <w:b/>
          <w:bCs/>
          <w:color w:val="7A5C48"/>
          <w:sz w:val="19"/>
          <w:szCs w:val="19"/>
        </w:rPr>
        <w:t xml:space="preserve">Table 33.1. Rebuild scripts</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2888"/>
        <w:gridCol w:w="3249"/>
        <w:gridCol w:w="2888"/>
      </w:tblGrid>
      <w:tr>
        <w:trPr>
          <w:cantSplit/>
          <w:tblHeader/>
        </w:trPr>
        <w:tc>
          <w:tcPr>
            <w:tcW w:type="pct" w:w="16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Script</w:t>
            </w:r>
          </w:p>
        </w:tc>
        <w:tc>
          <w:tcPr>
            <w:tcW w:type="pct" w:w="18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Builds</w:t>
            </w:r>
          </w:p>
        </w:tc>
        <w:tc>
          <w:tcPr>
            <w:tcW w:type="pct" w:w="16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Source</w:t>
            </w:r>
          </w:p>
        </w:tc>
      </w:tr>
      <w:tr>
        <w:trPr>
          <w:cantSplit/>
        </w:trPr>
        <w:tc>
          <w:tcPr>
            <w:tcW w:type="pct" w:w="1600"/>
            <w:tcMar>
              <w:top w:type="dxa" w:w="60"/>
              <w:left w:type="dxa" w:w="120"/>
              <w:bottom w:type="dxa" w:w="60"/>
              <w:right w:type="dxa" w:w="120"/>
            </w:tcMar>
          </w:tcPr>
          <w:p>
            <w:pPr>
              <w:spacing w:line="276"/>
            </w:pPr>
            <w:r>
              <w:rPr>
                <w:rFonts w:ascii="Times New Roman" w:hAnsi="Times New Roman"/>
                <w:color w:val="2B2320"/>
                <w:sz w:val="18"/>
                <w:szCs w:val="18"/>
              </w:rPr>
              <w:t xml:space="preserve">scripts/make_datasets.py</w:t>
            </w:r>
          </w:p>
        </w:tc>
        <w:tc>
          <w:tcPr>
            <w:tcW w:type="pct" w:w="1800"/>
            <w:tcMar>
              <w:top w:type="dxa" w:w="60"/>
              <w:left w:type="dxa" w:w="120"/>
              <w:bottom w:type="dxa" w:w="60"/>
              <w:right w:type="dxa" w:w="120"/>
            </w:tcMar>
          </w:tcPr>
          <w:p>
            <w:pPr>
              <w:spacing w:line="276"/>
            </w:pPr>
            <w:r>
              <w:rPr>
                <w:rFonts w:ascii="Times New Roman" w:hAnsi="Times New Roman"/>
                <w:color w:val="2B2320"/>
                <w:sz w:val="18"/>
                <w:szCs w:val="18"/>
              </w:rPr>
              <w:t xml:space="preserve">datasets/ (flagships, timeline, zeros)</w:t>
            </w:r>
          </w:p>
        </w:tc>
        <w:tc>
          <w:tcPr>
            <w:tcW w:type="pct" w:w="1600"/>
            <w:tcMar>
              <w:top w:type="dxa" w:w="60"/>
              <w:left w:type="dxa" w:w="120"/>
              <w:bottom w:type="dxa" w:w="60"/>
              <w:right w:type="dxa" w:w="120"/>
            </w:tcMar>
          </w:tcPr>
          <w:p>
            <w:pPr>
              <w:spacing w:line="276"/>
            </w:pPr>
            <w:r>
              <w:rPr>
                <w:rFonts w:ascii="Times New Roman" w:hAnsi="Times New Roman"/>
                <w:color w:val="2B2320"/>
                <w:sz w:val="18"/>
                <w:szCs w:val="18"/>
              </w:rPr>
              <w:t xml:space="preserve">verdicts of all levels</w:t>
            </w:r>
          </w:p>
        </w:tc>
      </w:tr>
      <w:tr>
        <w:trPr>
          <w:cantSplit/>
        </w:trPr>
        <w:tc>
          <w:tcPr>
            <w:tcW w:type="pct" w:w="1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scripts/make_tiled_figures.py</w:t>
            </w:r>
          </w:p>
        </w:tc>
        <w:tc>
          <w:tcPr>
            <w:tcW w:type="pct" w:w="1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figures_tiled/ (12 tiles)</w:t>
            </w:r>
          </w:p>
        </w:tc>
        <w:tc>
          <w:tcPr>
            <w:tcW w:type="pct" w:w="1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verdicts of Th1–Th6</w:t>
            </w:r>
          </w:p>
        </w:tc>
      </w:tr>
      <w:tr>
        <w:trPr>
          <w:cantSplit/>
        </w:trPr>
        <w:tc>
          <w:tcPr>
            <w:tcW w:type="pct" w:w="1600"/>
            <w:tcMar>
              <w:top w:type="dxa" w:w="60"/>
              <w:left w:type="dxa" w:w="120"/>
              <w:bottom w:type="dxa" w:w="60"/>
              <w:right w:type="dxa" w:w="120"/>
            </w:tcMar>
          </w:tcPr>
          <w:p>
            <w:pPr>
              <w:spacing w:line="276"/>
            </w:pPr>
            <w:r>
              <w:rPr>
                <w:rFonts w:ascii="Times New Roman" w:hAnsi="Times New Roman"/>
                <w:color w:val="2B2320"/>
                <w:sz w:val="18"/>
                <w:szCs w:val="18"/>
              </w:rPr>
              <w:t xml:space="preserve">scripts/make_theorem_docs.py</w:t>
            </w:r>
          </w:p>
        </w:tc>
        <w:tc>
          <w:tcPr>
            <w:tcW w:type="pct" w:w="1800"/>
            <w:tcMar>
              <w:top w:type="dxa" w:w="60"/>
              <w:left w:type="dxa" w:w="120"/>
              <w:bottom w:type="dxa" w:w="60"/>
              <w:right w:type="dxa" w:w="120"/>
            </w:tcMar>
          </w:tcPr>
          <w:p>
            <w:pPr>
              <w:spacing w:line="276"/>
            </w:pPr>
            <w:r>
              <w:rPr>
                <w:rFonts w:ascii="Times New Roman" w:hAnsi="Times New Roman"/>
                <w:color w:val="2B2320"/>
                <w:sz w:val="18"/>
                <w:szCs w:val="18"/>
              </w:rPr>
              <w:t xml:space="preserve">24 theorem documents</w:t>
            </w:r>
          </w:p>
        </w:tc>
        <w:tc>
          <w:tcPr>
            <w:tcW w:type="pct" w:w="1600"/>
            <w:tcMar>
              <w:top w:type="dxa" w:w="60"/>
              <w:left w:type="dxa" w:w="120"/>
              <w:bottom w:type="dxa" w:w="60"/>
              <w:right w:type="dxa" w:w="120"/>
            </w:tcMar>
          </w:tcPr>
          <w:p>
            <w:pPr>
              <w:spacing w:line="276"/>
            </w:pPr>
            <w:r>
              <w:rPr>
                <w:rFonts w:ascii="Times New Roman" w:hAnsi="Times New Roman"/>
                <w:color w:val="2B2320"/>
                <w:sz w:val="18"/>
                <w:szCs w:val="18"/>
              </w:rPr>
              <w:t xml:space="preserve">theorem _json/</w:t>
            </w:r>
          </w:p>
        </w:tc>
      </w:tr>
      <w:tr>
        <w:trPr>
          <w:cantSplit/>
        </w:trPr>
        <w:tc>
          <w:tcPr>
            <w:tcW w:type="pct" w:w="1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scripts/make_theorem_readmes.py</w:t>
            </w:r>
          </w:p>
        </w:tc>
        <w:tc>
          <w:tcPr>
            <w:tcW w:type="pct" w:w="1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theorem READMEs</w:t>
            </w:r>
          </w:p>
        </w:tc>
        <w:tc>
          <w:tcPr>
            <w:tcW w:type="pct" w:w="1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theorem _json/</w:t>
            </w:r>
          </w:p>
        </w:tc>
      </w:tr>
      <w:tr>
        <w:trPr>
          <w:cantSplit/>
        </w:trPr>
        <w:tc>
          <w:tcPr>
            <w:tcW w:type="pct" w:w="1600"/>
            <w:tcMar>
              <w:top w:type="dxa" w:w="60"/>
              <w:left w:type="dxa" w:w="120"/>
              <w:bottom w:type="dxa" w:w="60"/>
              <w:right w:type="dxa" w:w="120"/>
            </w:tcMar>
          </w:tcPr>
          <w:p>
            <w:pPr>
              <w:spacing w:line="276"/>
            </w:pPr>
            <w:r>
              <w:rPr>
                <w:rFonts w:ascii="Times New Roman" w:hAnsi="Times New Roman"/>
                <w:color w:val="2B2320"/>
                <w:sz w:val="18"/>
                <w:szCs w:val="18"/>
              </w:rPr>
              <w:t xml:space="preserve">scripts/make_atlas.py</w:t>
            </w:r>
          </w:p>
        </w:tc>
        <w:tc>
          <w:tcPr>
            <w:tcW w:type="pct" w:w="1800"/>
            <w:tcMar>
              <w:top w:type="dxa" w:w="60"/>
              <w:left w:type="dxa" w:w="120"/>
              <w:bottom w:type="dxa" w:w="60"/>
              <w:right w:type="dxa" w:w="120"/>
            </w:tcMar>
          </w:tcPr>
          <w:p>
            <w:pPr>
              <w:spacing w:line="276"/>
            </w:pPr>
            <w:r>
              <w:rPr>
                <w:rFonts w:ascii="Times New Roman" w:hAnsi="Times New Roman"/>
                <w:color w:val="2B2320"/>
                <w:sz w:val="18"/>
                <w:szCs w:val="18"/>
              </w:rPr>
              <w:t xml:space="preserve">atlas/ (the flagship atlas)</w:t>
            </w:r>
          </w:p>
        </w:tc>
        <w:tc>
          <w:tcPr>
            <w:tcW w:type="pct" w:w="1600"/>
            <w:tcMar>
              <w:top w:type="dxa" w:w="60"/>
              <w:left w:type="dxa" w:w="120"/>
              <w:bottom w:type="dxa" w:w="60"/>
              <w:right w:type="dxa" w:w="120"/>
            </w:tcMar>
          </w:tcPr>
          <w:p>
            <w:pPr>
              <w:spacing w:line="276"/>
            </w:pPr>
            <w:r>
              <w:rPr>
                <w:rFonts w:ascii="Times New Roman" w:hAnsi="Times New Roman"/>
                <w:color w:val="2B2320"/>
                <w:sz w:val="18"/>
                <w:szCs w:val="18"/>
              </w:rPr>
              <w:t xml:space="preserve">flagship metrics</w:t>
            </w:r>
          </w:p>
        </w:tc>
      </w:tr>
      <w:tr>
        <w:trPr>
          <w:cantSplit/>
        </w:trPr>
        <w:tc>
          <w:tcPr>
            <w:tcW w:type="pct" w:w="1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scripts/make_timeline.py</w:t>
            </w:r>
          </w:p>
        </w:tc>
        <w:tc>
          <w:tcPr>
            <w:tcW w:type="pct" w:w="1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timeline/ (the chronology)</w:t>
            </w:r>
          </w:p>
        </w:tc>
        <w:tc>
          <w:tcPr>
            <w:tcW w:type="pct" w:w="1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campaign_timeline.csv</w:t>
            </w:r>
          </w:p>
        </w:tc>
      </w:tr>
      <w:tr>
        <w:trPr>
          <w:cantSplit/>
        </w:trPr>
        <w:tc>
          <w:tcPr>
            <w:tcW w:type="pct" w:w="1600"/>
            <w:tcMar>
              <w:top w:type="dxa" w:w="60"/>
              <w:left w:type="dxa" w:w="120"/>
              <w:bottom w:type="dxa" w:w="60"/>
              <w:right w:type="dxa" w:w="120"/>
            </w:tcMar>
          </w:tcPr>
          <w:p>
            <w:pPr>
              <w:spacing w:line="276"/>
            </w:pPr>
            <w:r>
              <w:rPr>
                <w:rFonts w:ascii="Times New Roman" w:hAnsi="Times New Roman"/>
                <w:color w:val="2B2320"/>
                <w:sz w:val="18"/>
                <w:szCs w:val="18"/>
              </w:rPr>
              <w:t xml:space="preserve">scripts/make_whitepaper.py</w:t>
            </w:r>
          </w:p>
        </w:tc>
        <w:tc>
          <w:tcPr>
            <w:tcW w:type="pct" w:w="1800"/>
            <w:tcMar>
              <w:top w:type="dxa" w:w="60"/>
              <w:left w:type="dxa" w:w="120"/>
              <w:bottom w:type="dxa" w:w="60"/>
              <w:right w:type="dxa" w:w="120"/>
            </w:tcMar>
          </w:tcPr>
          <w:p>
            <w:pPr>
              <w:spacing w:line="276"/>
            </w:pPr>
            <w:r>
              <w:rPr>
                <w:rFonts w:ascii="Times New Roman" w:hAnsi="Times New Roman"/>
                <w:color w:val="2B2320"/>
                <w:sz w:val="18"/>
                <w:szCs w:val="18"/>
              </w:rPr>
              <w:t xml:space="preserve">whitepaper/ (RU/EN)</w:t>
            </w:r>
          </w:p>
        </w:tc>
        <w:tc>
          <w:tcPr>
            <w:tcW w:type="pct" w:w="1600"/>
            <w:tcMar>
              <w:top w:type="dxa" w:w="60"/>
              <w:left w:type="dxa" w:w="120"/>
              <w:bottom w:type="dxa" w:w="60"/>
              <w:right w:type="dxa" w:w="120"/>
            </w:tcMar>
          </w:tcPr>
          <w:p>
            <w:pPr>
              <w:spacing w:line="276"/>
            </w:pPr>
            <w:r>
              <w:rPr>
                <w:rFonts w:ascii="Times New Roman" w:hAnsi="Times New Roman"/>
                <w:color w:val="2B2320"/>
                <w:sz w:val="18"/>
                <w:szCs w:val="18"/>
              </w:rPr>
              <w:t xml:space="preserve">summary data</w:t>
            </w:r>
          </w:p>
        </w:tc>
      </w:tr>
      <w:tr>
        <w:trPr>
          <w:cantSplit/>
        </w:trPr>
        <w:tc>
          <w:tcPr>
            <w:tcW w:type="pct" w:w="1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scripts/make_banner.py</w:t>
            </w:r>
          </w:p>
        </w:tc>
        <w:tc>
          <w:tcPr>
            <w:tcW w:type="pct" w:w="1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assets/ (banner, logo)</w:t>
            </w:r>
          </w:p>
        </w:tc>
        <w:tc>
          <w:tcPr>
            <w:tcW w:type="pct" w:w="1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zero data</w:t>
            </w:r>
          </w:p>
        </w:tc>
      </w:tr>
      <w:tr>
        <w:trPr>
          <w:cantSplit/>
        </w:trPr>
        <w:tc>
          <w:tcPr>
            <w:tcW w:type="pct" w:w="1600"/>
            <w:tcMar>
              <w:top w:type="dxa" w:w="60"/>
              <w:left w:type="dxa" w:w="120"/>
              <w:bottom w:type="dxa" w:w="60"/>
              <w:right w:type="dxa" w:w="120"/>
            </w:tcMar>
          </w:tcPr>
          <w:p>
            <w:pPr>
              <w:spacing w:line="276"/>
            </w:pPr>
            <w:r>
              <w:rPr>
                <w:rFonts w:ascii="Times New Roman" w:hAnsi="Times New Roman"/>
                <w:color w:val="2B2320"/>
                <w:sz w:val="18"/>
                <w:szCs w:val="18"/>
              </w:rPr>
              <w:t xml:space="preserve">scripts/validate_package.py</w:t>
            </w:r>
          </w:p>
        </w:tc>
        <w:tc>
          <w:tcPr>
            <w:tcW w:type="pct" w:w="1800"/>
            <w:tcMar>
              <w:top w:type="dxa" w:w="60"/>
              <w:left w:type="dxa" w:w="120"/>
              <w:bottom w:type="dxa" w:w="60"/>
              <w:right w:type="dxa" w:w="120"/>
            </w:tcMar>
          </w:tcPr>
          <w:p>
            <w:pPr>
              <w:spacing w:line="276"/>
            </w:pPr>
            <w:r>
              <w:rPr>
                <w:rFonts w:ascii="Times New Roman" w:hAnsi="Times New Roman"/>
                <w:color w:val="2B2320"/>
                <w:sz w:val="18"/>
                <w:szCs w:val="18"/>
              </w:rPr>
              <w:t xml:space="preserve">the integrity report (95+ checks)</w:t>
            </w:r>
          </w:p>
        </w:tc>
        <w:tc>
          <w:tcPr>
            <w:tcW w:type="pct" w:w="1600"/>
            <w:tcMar>
              <w:top w:type="dxa" w:w="60"/>
              <w:left w:type="dxa" w:w="120"/>
              <w:bottom w:type="dxa" w:w="60"/>
              <w:right w:type="dxa" w:w="120"/>
            </w:tcMar>
          </w:tcPr>
          <w:p>
            <w:pPr>
              <w:spacing w:line="276"/>
            </w:pPr>
            <w:r>
              <w:rPr>
                <w:rFonts w:ascii="Times New Roman" w:hAnsi="Times New Roman"/>
                <w:color w:val="2B2320"/>
                <w:sz w:val="18"/>
                <w:szCs w:val="18"/>
              </w:rPr>
              <w:t xml:space="preserve">the whole package</w:t>
            </w:r>
          </w:p>
        </w:tc>
      </w:tr>
    </w:tbl>
    <w:p>
      <w:pPr>
        <w:spacing w:after="120"/>
      </w:pPr>
    </w:p>
    <w:p>
      <w:pPr>
        <w:pStyle w:val="Heading2"/>
        <w:spacing w:after="120" w:before="280" w:line="312"/>
      </w:pPr>
      <w:bookmarkStart w:name="_Toc160" w:id="160"/>
      <w:r>
        <w:rPr>
          <w:rFonts w:ascii="Times New Roman" w:hAnsi="Times New Roman"/>
          <w:b/>
          <w:bCs/>
          <w:color w:val="7A5C48"/>
          <w:sz w:val="26"/>
          <w:szCs w:val="26"/>
        </w:rPr>
        <w:t xml:space="preserve">33.2. The rebuild order</w:t>
      </w:r>
      <w:bookmarkEnd w:id="160"/>
    </w:p>
    <w:p>
      <w:pPr>
        <w:spacing w:after="120" w:line="312"/>
        <w:jc w:val="both"/>
      </w:pPr>
      <w:r>
        <w:rPr>
          <w:rFonts w:ascii="Times New Roman" w:hAnsi="Times New Roman"/>
          <w:color w:val="2B2320"/>
          <w:sz w:val="22"/>
          <w:szCs w:val="22"/>
        </w:rPr>
        <w:t xml:space="preserve">The recommended order after changing verdicts: make_datasets → make_tiled_figures → make_theorem_docs → make_theorem_readmes → make_atlas → make_timeline → make_whitepaper → make_banner → validate_package. The validator finishes the chain and lets no divergence through: if a derived artifact disagrees with its source, the package build is considered broken.</w:t>
      </w:r>
    </w:p>
    <w:p>
      <w:pPr>
        <w:pStyle w:val="Heading2"/>
        <w:spacing w:after="120" w:before="280" w:line="312"/>
      </w:pPr>
      <w:bookmarkStart w:name="_Toc161" w:id="161"/>
      <w:r>
        <w:rPr>
          <w:rFonts w:ascii="Times New Roman" w:hAnsi="Times New Roman"/>
          <w:b/>
          <w:bCs/>
          <w:color w:val="7A5C48"/>
          <w:sz w:val="26"/>
          <w:szCs w:val="26"/>
        </w:rPr>
        <w:t xml:space="preserve">33.3. CI and the Makefile</w:t>
      </w:r>
      <w:bookmarkEnd w:id="161"/>
    </w:p>
    <w:p>
      <w:pPr>
        <w:spacing w:after="120" w:line="312"/>
        <w:jc w:val="both"/>
      </w:pPr>
      <w:r>
        <w:rPr>
          <w:rFonts w:ascii="Times New Roman" w:hAnsi="Times New Roman"/>
          <w:color w:val="2B2320"/>
          <w:sz w:val="22"/>
          <w:szCs w:val="22"/>
        </w:rPr>
        <w:t xml:space="preserve">The top-level Makefile ties the python/julia/docs/validate targets; the repository CI pipelines run the tests (410+), the formal-layer build (Lean/Coq/Agda/Isabelle) and the integrity checks. One rule applies: a commit that breaks the validator does not count as an executed campaign.</w:t>
      </w:r>
    </w:p>
    <w:p>
      <w:pPr>
        <w:pStyle w:val="Heading1"/>
        <w:spacing w:after="160" w:before="360" w:line="312"/>
      </w:pPr>
      <w:bookmarkStart w:name="_Toc162" w:id="162"/>
      <w:r>
        <w:rPr>
          <w:rFonts w:ascii="Times New Roman" w:hAnsi="Times New Roman"/>
          <w:b/>
          <w:bCs/>
          <w:color w:val="2B2320"/>
          <w:sz w:val="32"/>
          <w:szCs w:val="32"/>
        </w:rPr>
        <w:t xml:space="preserve">Chapter 34. The Anatomy of a Verdict File</w:t>
      </w:r>
      <w:bookmarkEnd w:id="162"/>
    </w:p>
    <w:p>
      <w:pPr>
        <w:spacing w:after="160" w:line="312"/>
        <w:jc w:val="both"/>
      </w:pPr>
      <w:r>
        <w:rPr>
          <w:rFonts w:ascii="Times New Roman" w:hAnsi="Times New Roman"/>
          <w:color w:val="7A5C48"/>
          <w:sz w:val="23"/>
          <w:szCs w:val="23"/>
        </w:rPr>
        <w:t xml:space="preserve">A verdict is the minimal contract of a campaign. This chapter describes the schema: mandatory fields, value types, the does_not_prove discipline and how the validator checks consistency.</w:t>
      </w:r>
    </w:p>
    <w:p>
      <w:pPr>
        <w:pStyle w:val="Heading2"/>
        <w:spacing w:after="120" w:before="280" w:line="312"/>
      </w:pPr>
      <w:bookmarkStart w:name="_Toc163" w:id="163"/>
      <w:r>
        <w:rPr>
          <w:rFonts w:ascii="Times New Roman" w:hAnsi="Times New Roman"/>
          <w:b/>
          <w:bCs/>
          <w:color w:val="7A5C48"/>
          <w:sz w:val="26"/>
          <w:szCs w:val="26"/>
        </w:rPr>
        <w:t xml:space="preserve">34.1. Mandatory fields</w:t>
      </w:r>
      <w:bookmarkEnd w:id="163"/>
    </w:p>
    <w:p>
      <w:pPr>
        <w:keepNext/>
        <w:spacing w:after="80" w:before="160"/>
        <w:jc w:val="center"/>
      </w:pPr>
      <w:r>
        <w:rPr>
          <w:rFonts w:ascii="Times New Roman" w:hAnsi="Times New Roman"/>
          <w:b/>
          <w:bCs/>
          <w:color w:val="7A5C48"/>
          <w:sz w:val="19"/>
          <w:szCs w:val="19"/>
        </w:rPr>
        <w:t xml:space="preserve">Table 34.1. The verdict-file schema</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1986"/>
        <w:gridCol w:w="1444"/>
        <w:gridCol w:w="5596"/>
      </w:tblGrid>
      <w:tr>
        <w:trPr>
          <w:cantSplit/>
          <w:tblHeader/>
        </w:trPr>
        <w:tc>
          <w:tcPr>
            <w:tcW w:type="pct" w:w="11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Field</w:t>
            </w:r>
          </w:p>
        </w:tc>
        <w:tc>
          <w:tcPr>
            <w:tcW w:type="pct" w:w="8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Type</w:t>
            </w:r>
          </w:p>
        </w:tc>
        <w:tc>
          <w:tcPr>
            <w:tcW w:type="pct" w:w="31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Meaning</w:t>
            </w:r>
          </w:p>
        </w:tc>
      </w:tr>
      <w:tr>
        <w:trPr>
          <w:cantSplit/>
        </w:trPr>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campaign</w:t>
            </w:r>
          </w:p>
        </w:tc>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string</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the campaign identifier (V07, E17, ES3…)</w:t>
            </w:r>
          </w:p>
        </w:tc>
      </w:tr>
      <w:tr>
        <w:trPr>
          <w:cantSplit/>
        </w:trPr>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pre_registered</w:t>
            </w:r>
          </w:p>
        </w:tc>
        <w:tc>
          <w:tcPr>
            <w:tcW w:type="pct" w:w="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string</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 verbatim quote of the thresholds from the protocol</w:t>
            </w:r>
          </w:p>
        </w:tc>
      </w:tr>
      <w:tr>
        <w:trPr>
          <w:cantSplit/>
        </w:trPr>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pass</w:t>
            </w:r>
          </w:p>
        </w:tc>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bool</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the outcome against the pre-registered thresholds</w:t>
            </w:r>
          </w:p>
        </w:tc>
      </w:tr>
      <w:tr>
        <w:trPr>
          <w:cantSplit/>
        </w:trPr>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does_not_prove</w:t>
            </w:r>
          </w:p>
        </w:tc>
        <w:tc>
          <w:tcPr>
            <w:tcW w:type="pct" w:w="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string</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what the result does not prove</w:t>
            </w:r>
          </w:p>
        </w:tc>
      </w:tr>
      <w:tr>
        <w:trPr>
          <w:cantSplit/>
        </w:trPr>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metrics</w:t>
            </w:r>
          </w:p>
        </w:tc>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object</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the key certificate numbers</w:t>
            </w:r>
          </w:p>
        </w:tc>
      </w:tr>
      <w:tr>
        <w:trPr>
          <w:cantSplit/>
        </w:trPr>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blindness / pins</w:t>
            </w:r>
          </w:p>
        </w:tc>
        <w:tc>
          <w:tcPr>
            <w:tcW w:type="pct" w:w="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string/object</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blindness description; SHA256 of outputs (where applicable)</w:t>
            </w:r>
          </w:p>
        </w:tc>
      </w:tr>
      <w:tr>
        <w:trPr>
          <w:cantSplit/>
        </w:trPr>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status</w:t>
            </w:r>
          </w:p>
        </w:tc>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string</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done / threshold replaced (ES2a, ES5a)</w:t>
            </w:r>
          </w:p>
        </w:tc>
      </w:tr>
    </w:tbl>
    <w:p>
      <w:pPr>
        <w:spacing w:after="120"/>
      </w:pPr>
    </w:p>
    <w:p>
      <w:pPr>
        <w:pStyle w:val="Heading2"/>
        <w:spacing w:after="120" w:before="280" w:line="312"/>
      </w:pPr>
      <w:bookmarkStart w:name="_Toc164" w:id="164"/>
      <w:r>
        <w:rPr>
          <w:rFonts w:ascii="Times New Roman" w:hAnsi="Times New Roman"/>
          <w:b/>
          <w:bCs/>
          <w:color w:val="7A5C48"/>
          <w:sz w:val="26"/>
          <w:szCs w:val="26"/>
        </w:rPr>
        <w:t xml:space="preserve">34.2. The does_not_prove discipline</w:t>
      </w:r>
      <w:bookmarkEnd w:id="164"/>
    </w:p>
    <w:p>
      <w:pPr>
        <w:spacing w:after="120" w:line="312"/>
        <w:jc w:val="both"/>
      </w:pPr>
      <w:r>
        <w:rPr>
          <w:rFonts w:ascii="Times New Roman" w:hAnsi="Times New Roman"/>
          <w:color w:val="2B2320"/>
          <w:sz w:val="22"/>
          <w:szCs w:val="22"/>
        </w:rPr>
        <w:t xml:space="preserve">The does_not_prove field is the most important and the most unusual one. It forces the campaign to state its boundaries in advance, in the same file where the success is recorded. E17: "RH above T=1000; the primality of all zeros; the absence of off-line zeros for γ &gt; 1000". V20: the size and unitarity boundaries. ES3: hard real time. The reader of a verdict receives both the result and its weight — in one file.</w:t>
      </w:r>
    </w:p>
    <w:p>
      <w:pPr>
        <w:pStyle w:val="Heading2"/>
        <w:spacing w:after="120" w:before="280" w:line="312"/>
      </w:pPr>
      <w:bookmarkStart w:name="_Toc165" w:id="165"/>
      <w:r>
        <w:rPr>
          <w:rFonts w:ascii="Times New Roman" w:hAnsi="Times New Roman"/>
          <w:b/>
          <w:bCs/>
          <w:color w:val="7A5C48"/>
          <w:sz w:val="26"/>
          <w:szCs w:val="26"/>
        </w:rPr>
        <w:t xml:space="preserve">34.3. Consistency checking</w:t>
      </w:r>
      <w:bookmarkEnd w:id="165"/>
    </w:p>
    <w:p>
      <w:pPr>
        <w:spacing w:after="120" w:line="312"/>
        <w:jc w:val="both"/>
      </w:pPr>
      <w:r>
        <w:rPr>
          <w:rFonts w:ascii="Times New Roman" w:hAnsi="Times New Roman"/>
          <w:color w:val="2B2320"/>
          <w:sz w:val="22"/>
          <w:szCs w:val="22"/>
        </w:rPr>
        <w:t xml:space="preserve">The package validator cross-checks: verdict ↔ protocol (thresholds), verdict ↔ derived artifacts (the numbers of tiles and datasets), pins ↔ files (SHA256), statuses ↔ the obligation machine. A broken consistency stops the CI — this is how the contract becomes executable.</w:t>
      </w:r>
    </w:p>
    <w:p>
      <w:pPr>
        <w:shd w:fill="FAF6F3" w:val="clear"/>
        <w:spacing w:after="0" w:line="240"/>
        <w:ind w:left="360"/>
        <w:jc w:val="left"/>
      </w:pPr>
      <w:r>
        <w:rPr>
          <w:rFonts w:ascii="Courier New" w:hAnsi="Courier New"/>
          <w:color w:val="2B2320"/>
          <w:sz w:val="15"/>
          <w:szCs w:val="15"/>
        </w:rPr>
        <w:t xml:space="preserve"># the minimal consistency check</w:t>
      </w:r>
    </w:p>
    <w:p>
      <w:pPr>
        <w:shd w:fill="FAF6F3" w:val="clear"/>
        <w:spacing w:after="0" w:line="240"/>
        <w:ind w:left="360"/>
        <w:jc w:val="left"/>
      </w:pPr>
      <w:r>
        <w:rPr>
          <w:rFonts w:ascii="Courier New" w:hAnsi="Courier New"/>
          <w:color w:val="2B2320"/>
          <w:sz w:val="15"/>
          <w:szCs w:val="15"/>
        </w:rPr>
        <w:t xml:space="preserve">python3 scripts/validate_package.py</w:t>
      </w:r>
    </w:p>
    <w:p>
      <w:pPr>
        <w:shd w:fill="FAF6F3" w:val="clear"/>
        <w:spacing w:after="140" w:line="240"/>
        <w:ind w:left="360"/>
        <w:jc w:val="left"/>
      </w:pPr>
      <w:r>
        <w:rPr>
          <w:rFonts w:ascii="Courier New" w:hAnsi="Courier New"/>
          <w:color w:val="2B2320"/>
          <w:sz w:val="15"/>
          <w:szCs w:val="15"/>
        </w:rPr>
        <w:t xml:space="preserve"># → 95+ checks: verdicts, pins, tiles, datasets, statuses</w:t>
      </w:r>
    </w:p>
    <w:p>
      <w:pPr>
        <w:pStyle w:val="Heading1"/>
        <w:spacing w:after="160" w:before="360" w:line="312"/>
      </w:pPr>
      <w:bookmarkStart w:name="_Toc166" w:id="166"/>
      <w:r>
        <w:rPr>
          <w:rFonts w:ascii="Times New Roman" w:hAnsi="Times New Roman"/>
          <w:b/>
          <w:bCs/>
          <w:color w:val="2B2320"/>
          <w:sz w:val="32"/>
          <w:szCs w:val="32"/>
        </w:rPr>
        <w:t xml:space="preserve">Chapter 35. The Classical Context: From Hilbert–Pólya to the Explicit Formula</w:t>
      </w:r>
      <w:bookmarkEnd w:id="166"/>
    </w:p>
    <w:p>
      <w:pPr>
        <w:spacing w:after="160" w:line="312"/>
        <w:jc w:val="both"/>
      </w:pPr>
      <w:r>
        <w:rPr>
          <w:rFonts w:ascii="Times New Roman" w:hAnsi="Times New Roman"/>
          <w:color w:val="7A5C48"/>
          <w:sz w:val="23"/>
          <w:szCs w:val="23"/>
        </w:rPr>
        <w:t xml:space="preserve">The program does not exist in a vacuum: it reads and re-invents the classical line — the Hilbert–Pólya spectral idea, the Riemann–Weil explicit formula, the Montgomery–Odlyzko statistics. This chapter sets the historical coordinates so the reader sees what exactly the AB architecture adds.</w:t>
      </w:r>
    </w:p>
    <w:p>
      <w:pPr>
        <w:pStyle w:val="Heading2"/>
        <w:spacing w:after="120" w:before="280" w:line="312"/>
      </w:pPr>
      <w:bookmarkStart w:name="_Toc167" w:id="167"/>
      <w:r>
        <w:rPr>
          <w:rFonts w:ascii="Times New Roman" w:hAnsi="Times New Roman"/>
          <w:b/>
          <w:bCs/>
          <w:color w:val="7A5C48"/>
          <w:sz w:val="26"/>
          <w:szCs w:val="26"/>
        </w:rPr>
        <w:t xml:space="preserve">35.1. The Hilbert–Pólya idea</w:t>
      </w:r>
      <w:bookmarkEnd w:id="167"/>
    </w:p>
    <w:p>
      <w:pPr>
        <w:spacing w:after="120" w:line="312"/>
        <w:jc w:val="both"/>
      </w:pPr>
      <w:r>
        <w:rPr>
          <w:rFonts w:ascii="Times New Roman" w:hAnsi="Times New Roman"/>
          <w:color w:val="2B2320"/>
          <w:sz w:val="22"/>
          <w:szCs w:val="22"/>
        </w:rPr>
        <w:t xml:space="preserve">Pólya's idea (in Hilbert's notation): if there exists a self-adjoint operator whose spectrum coincides with the ordinates of the ζ zeros, then the Riemann hypothesis follows from the reality of the spectrum. The program takes this frame seriously and literally: the core constructs a concrete Hermitian operator H</w:t>
      </w:r>
      <w:r>
        <w:rPr>
          <w:rFonts w:ascii="Times New Roman" w:hAnsi="Times New Roman"/>
          <w:color w:val="2B2320"/>
          <w:sz w:val="22"/>
          <w:szCs w:val="22"/>
          <w:vertAlign w:val="subscript"/>
        </w:rPr>
        <w:t xml:space="preserve">ξ</w:t>
      </w:r>
      <w:r>
        <w:rPr>
          <w:rFonts w:ascii="Times New Roman" w:hAnsi="Times New Roman"/>
          <w:color w:val="2B2320"/>
          <w:sz w:val="22"/>
          <w:szCs w:val="22"/>
        </w:rPr>
        <w:t xml:space="preserve"> and studies how far its spectrum and trace reproduce the arithmetic of ζ. The difference from the classical setting is the discipline: the program does not claim spectral coincidence but measures consistency with certificates and keeps the RH conclusion blocked (V13).</w:t>
      </w:r>
    </w:p>
    <w:p>
      <w:pPr>
        <w:pStyle w:val="Heading2"/>
        <w:spacing w:after="120" w:before="280" w:line="312"/>
      </w:pPr>
      <w:bookmarkStart w:name="_Toc168" w:id="168"/>
      <w:r>
        <w:rPr>
          <w:rFonts w:ascii="Times New Roman" w:hAnsi="Times New Roman"/>
          <w:b/>
          <w:bCs/>
          <w:color w:val="7A5C48"/>
          <w:sz w:val="26"/>
          <w:szCs w:val="26"/>
        </w:rPr>
        <w:t xml:space="preserve">35.2. The explicit formula and the trace formula</w:t>
      </w:r>
      <w:bookmarkEnd w:id="168"/>
    </w:p>
    <w:p>
      <w:pPr>
        <w:spacing w:after="120" w:line="312"/>
        <w:jc w:val="both"/>
      </w:pPr>
      <w:r>
        <w:rPr>
          <w:rFonts w:ascii="Times New Roman" w:hAnsi="Times New Roman"/>
          <w:color w:val="2B2320"/>
          <w:sz w:val="22"/>
          <w:szCs w:val="22"/>
        </w:rPr>
        <w:t xml:space="preserve">The Riemann–Weil explicit formula relates the sum over primes to the sum over zeros; the Guinand–Weil correspondence gives it a spectral form. Th6 transfers the explicit formula to the heat-trace level: the coefficients of K(x) carry Λ(n)/√n. This makes the trace formula not an analogy but an exact transfer of the classical statement — and therefore a checkable number (r = 0.9996 against the control 0.76).</w:t>
      </w:r>
    </w:p>
    <w:p>
      <w:pPr>
        <w:pStyle w:val="Heading2"/>
        <w:spacing w:after="120" w:before="280" w:line="312"/>
      </w:pPr>
      <w:bookmarkStart w:name="_Toc169" w:id="169"/>
      <w:r>
        <w:rPr>
          <w:rFonts w:ascii="Times New Roman" w:hAnsi="Times New Roman"/>
          <w:b/>
          <w:bCs/>
          <w:color w:val="7A5C48"/>
          <w:sz w:val="26"/>
          <w:szCs w:val="26"/>
        </w:rPr>
        <w:t xml:space="preserve">35.3. Montgomery–Odlyzko and GUE</w:t>
      </w:r>
      <w:bookmarkEnd w:id="169"/>
    </w:p>
    <w:p>
      <w:pPr>
        <w:spacing w:after="120" w:line="312"/>
        <w:jc w:val="both"/>
      </w:pPr>
      <w:r>
        <w:rPr>
          <w:rFonts w:ascii="Times New Roman" w:hAnsi="Times New Roman"/>
          <w:color w:val="2B2320"/>
          <w:sz w:val="22"/>
          <w:szCs w:val="22"/>
        </w:rPr>
        <w:t xml:space="preserve">The Montgomery–Odlyzko pair established the agreement of ζ-zero statistics with GUE at heights covered by Odlyzko's data. The program uses this fact twice: as calibration (V02 — a model must fall into the GUE class) and as a methodological lesson: GUE agreement is insufficient, the arithmetic specificity is measured separately (trace↔primes, constants, behavioural tests). The table below maps the classical objects to their AB realizations.</w:t>
      </w:r>
    </w:p>
    <w:p>
      <w:pPr>
        <w:keepNext/>
        <w:spacing w:after="80" w:before="160"/>
        <w:jc w:val="center"/>
      </w:pPr>
      <w:r>
        <w:rPr>
          <w:rFonts w:ascii="Times New Roman" w:hAnsi="Times New Roman"/>
          <w:b/>
          <w:bCs/>
          <w:color w:val="7A5C48"/>
          <w:sz w:val="19"/>
          <w:szCs w:val="19"/>
        </w:rPr>
        <w:t xml:space="preserve">Table 35.1. Classics ↔ the program</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3069"/>
        <w:gridCol w:w="3249"/>
        <w:gridCol w:w="2708"/>
      </w:tblGrid>
      <w:tr>
        <w:trPr>
          <w:cantSplit/>
          <w:tblHeader/>
        </w:trPr>
        <w:tc>
          <w:tcPr>
            <w:tcW w:type="pct" w:w="17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Classical object</w:t>
            </w:r>
          </w:p>
        </w:tc>
        <w:tc>
          <w:tcPr>
            <w:tcW w:type="pct" w:w="18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AB realization</w:t>
            </w:r>
          </w:p>
        </w:tc>
        <w:tc>
          <w:tcPr>
            <w:tcW w:type="pct" w:w="15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Campaign/theorem</w:t>
            </w:r>
          </w:p>
        </w:tc>
      </w:tr>
      <w:tr>
        <w:trPr>
          <w:cantSplit/>
        </w:trPr>
        <w:tc>
          <w:tcPr>
            <w:tcW w:type="pct" w:w="1700"/>
            <w:tcMar>
              <w:top w:type="dxa" w:w="60"/>
              <w:left w:type="dxa" w:w="120"/>
              <w:bottom w:type="dxa" w:w="60"/>
              <w:right w:type="dxa" w:w="120"/>
            </w:tcMar>
          </w:tcPr>
          <w:p>
            <w:pPr>
              <w:spacing w:line="276"/>
            </w:pPr>
            <w:r>
              <w:rPr>
                <w:rFonts w:ascii="Times New Roman" w:hAnsi="Times New Roman"/>
                <w:color w:val="2B2320"/>
                <w:sz w:val="18"/>
                <w:szCs w:val="18"/>
              </w:rPr>
              <w:t xml:space="preserve">the self-adjoint operator of zeros</w:t>
            </w:r>
          </w:p>
        </w:tc>
        <w:tc>
          <w:tcPr>
            <w:tcW w:type="pct" w:w="1800"/>
            <w:tcMar>
              <w:top w:type="dxa" w:w="60"/>
              <w:left w:type="dxa" w:w="120"/>
              <w:bottom w:type="dxa" w:w="60"/>
              <w:right w:type="dxa" w:w="120"/>
            </w:tcMar>
          </w:tcPr>
          <w:p>
            <w:pPr>
              <w:spacing w:line="276"/>
            </w:pPr>
            <w:r>
              <w:rPr>
                <w:rFonts w:ascii="Times New Roman" w:hAnsi="Times New Roman"/>
                <w:color w:val="2B2320"/>
                <w:sz w:val="18"/>
                <w:szCs w:val="18"/>
              </w:rPr>
              <w:t xml:space="preserve">the core H</w:t>
            </w:r>
            <w:r>
              <w:rPr>
                <w:rFonts w:ascii="Times New Roman" w:hAnsi="Times New Roman"/>
                <w:color w:val="2B2320"/>
                <w:sz w:val="18"/>
                <w:szCs w:val="18"/>
                <w:vertAlign w:val="subscript"/>
              </w:rPr>
              <w:t xml:space="preserve">ξ</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V4–V8, Th1–Th2</w:t>
            </w:r>
          </w:p>
        </w:tc>
      </w:tr>
      <w:tr>
        <w:trPr>
          <w:cantSplit/>
        </w:trPr>
        <w:tc>
          <w:tcPr>
            <w:tcW w:type="pct" w:w="1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Riemann–Weil explicit formula</w:t>
            </w:r>
          </w:p>
        </w:tc>
        <w:tc>
          <w:tcPr>
            <w:tcW w:type="pct" w:w="1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trace formula with Λ(n)/√n</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V7, Th6</w:t>
            </w:r>
          </w:p>
        </w:tc>
      </w:tr>
      <w:tr>
        <w:trPr>
          <w:cantSplit/>
        </w:trPr>
        <w:tc>
          <w:tcPr>
            <w:tcW w:type="pct" w:w="1700"/>
            <w:tcMar>
              <w:top w:type="dxa" w:w="60"/>
              <w:left w:type="dxa" w:w="120"/>
              <w:bottom w:type="dxa" w:w="60"/>
              <w:right w:type="dxa" w:w="120"/>
            </w:tcMar>
          </w:tcPr>
          <w:p>
            <w:pPr>
              <w:spacing w:line="276"/>
            </w:pPr>
            <w:r>
              <w:rPr>
                <w:rFonts w:ascii="Times New Roman" w:hAnsi="Times New Roman"/>
                <w:color w:val="2B2320"/>
                <w:sz w:val="18"/>
                <w:szCs w:val="18"/>
              </w:rPr>
              <w:t xml:space="preserve">the Hilbert–Pólya idea</w:t>
            </w:r>
          </w:p>
        </w:tc>
        <w:tc>
          <w:tcPr>
            <w:tcW w:type="pct" w:w="1800"/>
            <w:tcMar>
              <w:top w:type="dxa" w:w="60"/>
              <w:left w:type="dxa" w:w="120"/>
              <w:bottom w:type="dxa" w:w="60"/>
              <w:right w:type="dxa" w:w="120"/>
            </w:tcMar>
          </w:tcPr>
          <w:p>
            <w:pPr>
              <w:spacing w:line="276"/>
            </w:pPr>
            <w:r>
              <w:rPr>
                <w:rFonts w:ascii="Times New Roman" w:hAnsi="Times New Roman"/>
                <w:color w:val="2B2320"/>
                <w:sz w:val="18"/>
                <w:szCs w:val="18"/>
              </w:rPr>
              <w:t xml:space="preserve">the spectral construction + V13 (blocked)</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V13</w:t>
            </w:r>
          </w:p>
        </w:tc>
      </w:tr>
      <w:tr>
        <w:trPr>
          <w:cantSplit/>
        </w:trPr>
        <w:tc>
          <w:tcPr>
            <w:tcW w:type="pct" w:w="1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GUE statistics of zeros</w:t>
            </w:r>
          </w:p>
        </w:tc>
        <w:tc>
          <w:tcPr>
            <w:tcW w:type="pct" w:w="1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GUE class of the AB cloud</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V02</w:t>
            </w:r>
          </w:p>
        </w:tc>
      </w:tr>
      <w:tr>
        <w:trPr>
          <w:cantSplit/>
        </w:trPr>
        <w:tc>
          <w:tcPr>
            <w:tcW w:type="pct" w:w="1700"/>
            <w:tcMar>
              <w:top w:type="dxa" w:w="60"/>
              <w:left w:type="dxa" w:w="120"/>
              <w:bottom w:type="dxa" w:w="60"/>
              <w:right w:type="dxa" w:w="120"/>
            </w:tcMar>
          </w:tcPr>
          <w:p>
            <w:pPr>
              <w:spacing w:line="276"/>
            </w:pPr>
            <w:r>
              <w:rPr>
                <w:rFonts w:ascii="Times New Roman" w:hAnsi="Times New Roman"/>
                <w:color w:val="2B2320"/>
                <w:sz w:val="18"/>
                <w:szCs w:val="18"/>
              </w:rPr>
              <w:t xml:space="preserve">the Li criterion</w:t>
            </w:r>
          </w:p>
        </w:tc>
        <w:tc>
          <w:tcPr>
            <w:tcW w:type="pct" w:w="1800"/>
            <w:tcMar>
              <w:top w:type="dxa" w:w="60"/>
              <w:left w:type="dxa" w:w="120"/>
              <w:bottom w:type="dxa" w:w="60"/>
              <w:right w:type="dxa" w:w="120"/>
            </w:tcMar>
          </w:tcPr>
          <w:p>
            <w:pPr>
              <w:spacing w:line="276"/>
            </w:pPr>
            <w:r>
              <w:rPr>
                <w:rFonts w:ascii="Times New Roman" w:hAnsi="Times New Roman"/>
                <w:color w:val="2B2320"/>
                <w:sz w:val="18"/>
                <w:szCs w:val="18"/>
              </w:rPr>
              <w:t xml:space="preserve">λ_n = Tr g_n(H_ξ)</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V15, Th4</w:t>
            </w:r>
          </w:p>
        </w:tc>
      </w:tr>
      <w:tr>
        <w:trPr>
          <w:cantSplit/>
        </w:trPr>
        <w:tc>
          <w:tcPr>
            <w:tcW w:type="pct" w:w="1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Riemann–Siegel formula</w:t>
            </w:r>
          </w:p>
        </w:tc>
        <w:tc>
          <w:tcPr>
            <w:tcW w:type="pct" w:w="1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independent engine E16</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E16</w:t>
            </w:r>
          </w:p>
        </w:tc>
      </w:tr>
    </w:tbl>
    <w:p>
      <w:pPr>
        <w:spacing w:after="120"/>
      </w:pPr>
    </w:p>
    <w:p>
      <w:pPr>
        <w:spacing w:after="120" w:line="312"/>
        <w:jc w:val="both"/>
      </w:pPr>
      <w:r>
        <w:rPr>
          <w:rFonts w:ascii="Times New Roman" w:hAnsi="Times New Roman"/>
          <w:color w:val="2B2320"/>
          <w:sz w:val="22"/>
          <w:szCs w:val="22"/>
        </w:rPr>
        <w:t xml:space="preserve">The chapter's conclusion: the program is not "yet another numerical check of RH" but a disciplined implementation of the classical Hilbert–Pólya program with a modern verification culture. What is new in it is not the mathematics of the claims but the engineering of trust: blind protocols, statuses, obligations.</w:t>
      </w:r>
    </w:p>
    <w:p>
      <w:pPr>
        <w:pStyle w:val="Heading1"/>
        <w:spacing w:after="160" w:before="360" w:line="312"/>
      </w:pPr>
      <w:bookmarkStart w:name="_Toc170" w:id="170"/>
      <w:r>
        <w:rPr>
          <w:rFonts w:ascii="Times New Roman" w:hAnsi="Times New Roman"/>
          <w:b/>
          <w:bCs/>
          <w:color w:val="2B2320"/>
          <w:sz w:val="32"/>
          <w:szCs w:val="32"/>
        </w:rPr>
        <w:t xml:space="preserve">Chapter 36. The Roadmaps in Detail</w:t>
      </w:r>
      <w:bookmarkEnd w:id="170"/>
    </w:p>
    <w:p>
      <w:pPr>
        <w:spacing w:after="160" w:line="312"/>
        <w:jc w:val="both"/>
      </w:pPr>
      <w:r>
        <w:rPr>
          <w:rFonts w:ascii="Times New Roman" w:hAnsi="Times New Roman"/>
          <w:color w:val="7A5C48"/>
          <w:sz w:val="23"/>
          <w:szCs w:val="23"/>
        </w:rPr>
        <w:t xml:space="preserve">The four roadmaps of the program — core, processor, verification, spinor — are chained by verdict dependencies. This chapter breaks each down to concrete obligations and readiness criteria.</w:t>
      </w:r>
    </w:p>
    <w:p>
      <w:pPr>
        <w:pStyle w:val="Heading2"/>
        <w:spacing w:after="120" w:before="280" w:line="312"/>
      </w:pPr>
      <w:bookmarkStart w:name="_Toc171" w:id="171"/>
      <w:r>
        <w:rPr>
          <w:rFonts w:ascii="Times New Roman" w:hAnsi="Times New Roman"/>
          <w:b/>
          <w:bCs/>
          <w:color w:val="7A5C48"/>
          <w:sz w:val="26"/>
          <w:szCs w:val="26"/>
        </w:rPr>
        <w:t xml:space="preserve">36.1. The core (R2): the stitching remainder and monodromy</w:t>
      </w:r>
      <w:bookmarkEnd w:id="171"/>
    </w:p>
    <w:p>
      <w:pPr>
        <w:spacing w:after="120" w:line="312"/>
        <w:jc w:val="both"/>
      </w:pPr>
      <w:r>
        <w:rPr>
          <w:rFonts w:ascii="Times New Roman" w:hAnsi="Times New Roman"/>
          <w:color w:val="2B2320"/>
          <w:sz w:val="22"/>
          <w:szCs w:val="22"/>
        </w:rPr>
        <w:t xml:space="preserve">The core has reached its final obligations: refine the stitching to r_align ≤ 0.135 on an extended height grid, formalize the ζ monodromy as an algebraic object, compile the obligation nodes into Lean/Coq (O-lean/O-coq). The R2 readiness criterion: the stitching certificate is reproduced by the formal layer, and all proven nodes of V13 have machine-checked proofs.</w:t>
      </w:r>
    </w:p>
    <w:p>
      <w:pPr>
        <w:pStyle w:val="Heading2"/>
        <w:spacing w:after="120" w:before="280" w:line="312"/>
      </w:pPr>
      <w:bookmarkStart w:name="_Toc172" w:id="172"/>
      <w:r>
        <w:rPr>
          <w:rFonts w:ascii="Times New Roman" w:hAnsi="Times New Roman"/>
          <w:b/>
          <w:bCs/>
          <w:color w:val="7A5C48"/>
          <w:sz w:val="26"/>
          <w:szCs w:val="26"/>
        </w:rPr>
        <w:t xml:space="preserve">36.2. The processor (P0–P6): the path to the passport</w:t>
      </w:r>
      <w:bookmarkEnd w:id="172"/>
    </w:p>
    <w:p>
      <w:pPr>
        <w:keepNext/>
        <w:spacing w:after="80" w:before="160"/>
        <w:jc w:val="center"/>
      </w:pPr>
      <w:r>
        <w:rPr>
          <w:rFonts w:ascii="Times New Roman" w:hAnsi="Times New Roman"/>
          <w:b/>
          <w:bCs/>
          <w:color w:val="7A5C48"/>
          <w:sz w:val="19"/>
          <w:szCs w:val="19"/>
        </w:rPr>
        <w:t xml:space="preserve">Table 36.1. Processor stages with readiness criteria</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1444"/>
        <w:gridCol w:w="1986"/>
        <w:gridCol w:w="3430"/>
        <w:gridCol w:w="2166"/>
      </w:tblGrid>
      <w:tr>
        <w:trPr>
          <w:cantSplit/>
          <w:tblHeader/>
        </w:trPr>
        <w:tc>
          <w:tcPr>
            <w:tcW w:type="pct" w:w="8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Stage</w:t>
            </w:r>
          </w:p>
        </w:tc>
        <w:tc>
          <w:tcPr>
            <w:tcW w:type="pct" w:w="11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Content</w:t>
            </w:r>
          </w:p>
        </w:tc>
        <w:tc>
          <w:tcPr>
            <w:tcW w:type="pct" w:w="19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Readiness criterion</w:t>
            </w:r>
          </w:p>
        </w:tc>
        <w:tc>
          <w:tcPr>
            <w:tcW w:type="pct" w:w="12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Depends on</w:t>
            </w:r>
          </w:p>
        </w:tc>
      </w:tr>
      <w:tr>
        <w:trPr>
          <w:cantSplit/>
        </w:trPr>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P0 (V20) — done</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ISA + compiler</w:t>
            </w:r>
          </w:p>
        </w:tc>
        <w:tc>
          <w:tcPr>
            <w:tcW w:type="pct" w:w="1900"/>
            <w:tcMar>
              <w:top w:type="dxa" w:w="60"/>
              <w:left w:type="dxa" w:w="120"/>
              <w:bottom w:type="dxa" w:w="60"/>
              <w:right w:type="dxa" w:w="120"/>
            </w:tcMar>
          </w:tcPr>
          <w:p>
            <w:pPr>
              <w:spacing w:line="276"/>
            </w:pPr>
            <w:r>
              <w:rPr>
                <w:rFonts w:ascii="Times New Roman" w:hAnsi="Times New Roman"/>
                <w:color w:val="2B2320"/>
                <w:sz w:val="18"/>
                <w:szCs w:val="18"/>
              </w:rPr>
              <w:t xml:space="preserve">1−F ≤ threshold; numpy replication</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Th5</w:t>
            </w:r>
          </w:p>
        </w:tc>
      </w:tr>
      <w:tr>
        <w:trPr>
          <w:cantSplit/>
        </w:trPr>
        <w:tc>
          <w:tcPr>
            <w:tcW w:type="pct" w:w="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P1 (V21)</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volatile memory</w:t>
            </w:r>
          </w:p>
        </w:tc>
        <w:tc>
          <w:tcPr>
            <w:tcW w:type="pct" w:w="19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cycles and reset per TS1–TS2 in the model</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ES1–ES5</w:t>
            </w:r>
          </w:p>
        </w:tc>
      </w:tr>
      <w:tr>
        <w:trPr>
          <w:cantSplit/>
        </w:trPr>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P2 (V22)</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ALU</w:t>
            </w:r>
          </w:p>
        </w:tc>
        <w:tc>
          <w:tcPr>
            <w:tcW w:type="pct" w:w="1900"/>
            <w:tcMar>
              <w:top w:type="dxa" w:w="60"/>
              <w:left w:type="dxa" w:w="120"/>
              <w:bottom w:type="dxa" w:w="60"/>
              <w:right w:type="dxa" w:w="120"/>
            </w:tcMar>
          </w:tcPr>
          <w:p>
            <w:pPr>
              <w:spacing w:line="276"/>
            </w:pPr>
            <w:r>
              <w:rPr>
                <w:rFonts w:ascii="Times New Roman" w:hAnsi="Times New Roman"/>
                <w:color w:val="2B2320"/>
                <w:sz w:val="18"/>
                <w:szCs w:val="18"/>
              </w:rPr>
              <w:t xml:space="preserve">ISA arithmetic consistent with E08</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V20, E08</w:t>
            </w:r>
          </w:p>
        </w:tc>
      </w:tr>
      <w:tr>
        <w:trPr>
          <w:cantSplit/>
        </w:trPr>
        <w:tc>
          <w:tcPr>
            <w:tcW w:type="pct" w:w="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P3 (V23)</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zero reading</w:t>
            </w:r>
          </w:p>
        </w:tc>
        <w:tc>
          <w:tcPr>
            <w:tcW w:type="pct" w:w="19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blind reading in the E17 class</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E17, Th6</w:t>
            </w:r>
          </w:p>
        </w:tc>
      </w:tr>
      <w:tr>
        <w:trPr>
          <w:cantSplit/>
        </w:trPr>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P4 (V24)</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nonlocality</w:t>
            </w:r>
          </w:p>
        </w:tc>
        <w:tc>
          <w:tcPr>
            <w:tcW w:type="pct" w:w="1900"/>
            <w:tcMar>
              <w:top w:type="dxa" w:w="60"/>
              <w:left w:type="dxa" w:w="120"/>
              <w:bottom w:type="dxa" w:w="60"/>
              <w:right w:type="dxa" w:w="120"/>
            </w:tcMar>
          </w:tcPr>
          <w:p>
            <w:pPr>
              <w:spacing w:line="276"/>
            </w:pPr>
            <w:r>
              <w:rPr>
                <w:rFonts w:ascii="Times New Roman" w:hAnsi="Times New Roman"/>
                <w:color w:val="2B2320"/>
                <w:sz w:val="18"/>
                <w:szCs w:val="18"/>
              </w:rPr>
              <w:t xml:space="preserve">CHSH + no-signaling in the E13/E14 class</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E13/E14</w:t>
            </w:r>
          </w:p>
        </w:tc>
      </w:tr>
      <w:tr>
        <w:trPr>
          <w:cantSplit/>
        </w:trPr>
        <w:tc>
          <w:tcPr>
            <w:tcW w:type="pct" w:w="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P5 (V25)</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benchmarks</w:t>
            </w:r>
          </w:p>
        </w:tc>
        <w:tc>
          <w:tcPr>
            <w:tcW w:type="pct" w:w="19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E18 methodology, fresh baselines</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E18</w:t>
            </w:r>
          </w:p>
        </w:tc>
      </w:tr>
      <w:tr>
        <w:trPr>
          <w:cantSplit/>
        </w:trPr>
        <w:tc>
          <w:tcPr>
            <w:tcW w:type="pct" w:w="800"/>
            <w:tcMar>
              <w:top w:type="dxa" w:w="60"/>
              <w:left w:type="dxa" w:w="120"/>
              <w:bottom w:type="dxa" w:w="60"/>
              <w:right w:type="dxa" w:w="120"/>
            </w:tcMar>
          </w:tcPr>
          <w:p>
            <w:pPr>
              <w:spacing w:line="276"/>
            </w:pPr>
            <w:r>
              <w:rPr>
                <w:rFonts w:ascii="Times New Roman" w:hAnsi="Times New Roman"/>
                <w:color w:val="2B2320"/>
                <w:sz w:val="18"/>
                <w:szCs w:val="18"/>
              </w:rPr>
              <w:t xml:space="preserve">P6 (V26)</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Datasheet 1.0</w:t>
            </w:r>
          </w:p>
        </w:tc>
        <w:tc>
          <w:tcPr>
            <w:tcW w:type="pct" w:w="1900"/>
            <w:tcMar>
              <w:top w:type="dxa" w:w="60"/>
              <w:left w:type="dxa" w:w="120"/>
              <w:bottom w:type="dxa" w:w="60"/>
              <w:right w:type="dxa" w:w="120"/>
            </w:tcMar>
          </w:tcPr>
          <w:p>
            <w:pPr>
              <w:spacing w:line="276"/>
            </w:pPr>
            <w:r>
              <w:rPr>
                <w:rFonts w:ascii="Times New Roman" w:hAnsi="Times New Roman"/>
                <w:color w:val="2B2320"/>
                <w:sz w:val="18"/>
                <w:szCs w:val="18"/>
              </w:rPr>
              <w:t xml:space="preserve">passport: every number with a verdict</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all P verdicts</w:t>
            </w:r>
          </w:p>
        </w:tc>
      </w:tr>
    </w:tbl>
    <w:p>
      <w:pPr>
        <w:spacing w:after="120"/>
      </w:pPr>
    </w:p>
    <w:p>
      <w:pPr>
        <w:pStyle w:val="Heading2"/>
        <w:spacing w:after="120" w:before="280" w:line="312"/>
      </w:pPr>
      <w:bookmarkStart w:name="_Toc173" w:id="173"/>
      <w:r>
        <w:rPr>
          <w:rFonts w:ascii="Times New Roman" w:hAnsi="Times New Roman"/>
          <w:b/>
          <w:bCs/>
          <w:color w:val="7A5C48"/>
          <w:sz w:val="26"/>
          <w:szCs w:val="26"/>
        </w:rPr>
        <w:t xml:space="preserve">36.3. Verification (O-J): from heights to the twin</w:t>
      </w:r>
      <w:bookmarkEnd w:id="173"/>
    </w:p>
    <w:p>
      <w:pPr>
        <w:spacing w:after="120" w:line="312"/>
        <w:jc w:val="both"/>
      </w:pPr>
      <w:r>
        <w:rPr>
          <w:rFonts w:ascii="Times New Roman" w:hAnsi="Times New Roman"/>
          <w:color w:val="2B2320"/>
          <w:sz w:val="22"/>
          <w:szCs w:val="22"/>
        </w:rPr>
        <w:t xml:space="preserve">O-J3 builds the QEC layer (based on the repetition code E07 and memory V21); O-J4 — the digital twin of the processor, running the same protocols on a model implementation; O-J5 — the integration campaign, stitching everything at heights T well above 1000. The O-J readiness criterion: every new processor stage gets an independent verdict before entering the passport.</w:t>
      </w:r>
    </w:p>
    <w:p>
      <w:pPr>
        <w:pStyle w:val="Heading2"/>
        <w:spacing w:after="120" w:before="280" w:line="312"/>
      </w:pPr>
      <w:bookmarkStart w:name="_Toc174" w:id="174"/>
      <w:r>
        <w:rPr>
          <w:rFonts w:ascii="Times New Roman" w:hAnsi="Times New Roman"/>
          <w:b/>
          <w:bCs/>
          <w:color w:val="7A5C48"/>
          <w:sz w:val="26"/>
          <w:szCs w:val="26"/>
        </w:rPr>
        <w:t xml:space="preserve">36.4. The spinor study: extending the phases</w:t>
      </w:r>
      <w:bookmarkEnd w:id="174"/>
    </w:p>
    <w:p>
      <w:pPr>
        <w:spacing w:after="120" w:line="312"/>
        <w:jc w:val="both"/>
      </w:pPr>
      <w:r>
        <w:rPr>
          <w:rFonts w:ascii="Times New Roman" w:hAnsi="Times New Roman"/>
          <w:color w:val="2B2320"/>
          <w:sz w:val="22"/>
          <w:szCs w:val="22"/>
        </w:rPr>
        <w:t xml:space="preserve">The next spinor wave: phases θ = π/k for k &gt; 7 (searching for the inflection of the capacity/robustness trade-off), a formal grammar of task compilation into phase cycles, a diffusion channel with correlations — beyond the Markov assumption of ES4. The criterion: every new phase gets a campaign with a pre-registered threshold and a theorem at the TS1–TS3 level.</w:t>
      </w:r>
    </w:p>
    <w:p>
      <w:pPr>
        <w:pStyle w:val="Heading1"/>
        <w:spacing w:after="160" w:before="360" w:line="312"/>
      </w:pPr>
      <w:bookmarkStart w:name="_Toc175" w:id="175"/>
      <w:r>
        <w:rPr>
          <w:rFonts w:ascii="Times New Roman" w:hAnsi="Times New Roman"/>
          <w:b/>
          <w:bCs/>
          <w:color w:val="2B2320"/>
          <w:sz w:val="32"/>
          <w:szCs w:val="32"/>
        </w:rPr>
        <w:t xml:space="preserve">Chapter 37. Frequently Asked Questions</w:t>
      </w:r>
      <w:bookmarkEnd w:id="175"/>
    </w:p>
    <w:p>
      <w:pPr>
        <w:spacing w:after="160" w:line="312"/>
        <w:jc w:val="both"/>
      </w:pPr>
      <w:r>
        <w:rPr>
          <w:rFonts w:ascii="Times New Roman" w:hAnsi="Times New Roman"/>
          <w:color w:val="7A5C48"/>
          <w:sz w:val="23"/>
          <w:szCs w:val="23"/>
        </w:rPr>
        <w:t xml:space="preserve">Twelve questions most often asked of the program — with answers resting on verdicts, not hopes.</w:t>
      </w:r>
    </w:p>
    <w:p>
      <w:pPr>
        <w:pStyle w:val="Heading2"/>
        <w:spacing w:after="120" w:before="280" w:line="312"/>
      </w:pPr>
      <w:bookmarkStart w:name="_Toc176" w:id="176"/>
      <w:r>
        <w:rPr>
          <w:rFonts w:ascii="Times New Roman" w:hAnsi="Times New Roman"/>
          <w:b/>
          <w:bCs/>
          <w:color w:val="7A5C48"/>
          <w:sz w:val="26"/>
          <w:szCs w:val="26"/>
        </w:rPr>
        <w:t xml:space="preserve">37.1. Status questions</w:t>
      </w:r>
      <w:bookmarkEnd w:id="176"/>
    </w:p>
    <w:p>
      <w:pPr>
        <w:spacing w:after="60" w:line="312"/>
        <w:ind w:left="360" w:hanging="240"/>
        <w:jc w:val="left"/>
      </w:pPr>
      <w:r>
        <w:rPr>
          <w:rFonts w:ascii="Times New Roman" w:hAnsi="Times New Roman"/>
          <w:color w:val="2B2320"/>
          <w:sz w:val="22"/>
          <w:szCs w:val="22"/>
        </w:rPr>
        <w:t xml:space="preserve">1.  </w:t>
      </w:r>
      <w:r>
        <w:rPr>
          <w:rFonts w:ascii="Times New Roman" w:hAnsi="Times New Roman"/>
          <w:b/>
          <w:bCs/>
          <w:color w:val="2B2320"/>
          <w:sz w:val="22"/>
          <w:szCs w:val="22"/>
        </w:rPr>
        <w:t xml:space="preserve">Does the program prove the Riemann hypothesis?</w:t>
      </w:r>
      <w:r>
        <w:rPr>
          <w:rFonts w:ascii="Times New Roman" w:hAnsi="Times New Roman"/>
          <w:color w:val="2B2320"/>
          <w:sz w:val="22"/>
          <w:szCs w:val="22"/>
        </w:rPr>
        <w:t xml:space="preserve"> No. The obligation machine V13 keeps the RH conclusion blocked: the path contains four analytic hypotheses (O08/O09/O11/O12). Everything numerical confirms the consistency of the model, no more.</w:t>
      </w:r>
    </w:p>
    <w:p>
      <w:pPr>
        <w:spacing w:after="60" w:line="312"/>
        <w:ind w:left="360" w:hanging="240"/>
        <w:jc w:val="left"/>
      </w:pPr>
      <w:r>
        <w:rPr>
          <w:rFonts w:ascii="Times New Roman" w:hAnsi="Times New Roman"/>
          <w:color w:val="2B2320"/>
          <w:sz w:val="22"/>
          <w:szCs w:val="22"/>
        </w:rPr>
        <w:t xml:space="preserve">2.  </w:t>
      </w:r>
      <w:r>
        <w:rPr>
          <w:rFonts w:ascii="Times New Roman" w:hAnsi="Times New Roman"/>
          <w:b/>
          <w:bCs/>
          <w:color w:val="2B2320"/>
          <w:sz w:val="22"/>
          <w:szCs w:val="22"/>
        </w:rPr>
        <w:t xml:space="preserve">What exactly is new in the program?</w:t>
      </w:r>
      <w:r>
        <w:rPr>
          <w:rFonts w:ascii="Times New Roman" w:hAnsi="Times New Roman"/>
          <w:color w:val="2B2320"/>
          <w:sz w:val="22"/>
          <w:szCs w:val="22"/>
        </w:rPr>
        <w:t xml:space="preserve"> Not the mathematics of the claims but the engineering of trust: pre-registration, blind protocols, pins, replications, statuses, audits — all on a real spectral construction.</w:t>
      </w:r>
    </w:p>
    <w:p>
      <w:pPr>
        <w:spacing w:after="60" w:line="312"/>
        <w:ind w:left="360" w:hanging="240"/>
        <w:jc w:val="left"/>
      </w:pPr>
      <w:r>
        <w:rPr>
          <w:rFonts w:ascii="Times New Roman" w:hAnsi="Times New Roman"/>
          <w:color w:val="2B2320"/>
          <w:sz w:val="22"/>
          <w:szCs w:val="22"/>
        </w:rPr>
        <w:t xml:space="preserve">3.  </w:t>
      </w:r>
      <w:r>
        <w:rPr>
          <w:rFonts w:ascii="Times New Roman" w:hAnsi="Times New Roman"/>
          <w:b/>
          <w:bCs/>
          <w:color w:val="2B2320"/>
          <w:sz w:val="22"/>
          <w:szCs w:val="22"/>
        </w:rPr>
        <w:t xml:space="preserve">Why are zeros "read" rather than stored?</w:t>
      </w:r>
      <w:r>
        <w:rPr>
          <w:rFonts w:ascii="Times New Roman" w:hAnsi="Times New Roman"/>
          <w:color w:val="2B2320"/>
          <w:sz w:val="22"/>
          <w:szCs w:val="22"/>
        </w:rPr>
        <w:t xml:space="preserve"> Because the operator trace carries Λ(n)/√n (Th6): six constants parameterize the trace, and the trace contains the spectrum. Storing zeros is redundant.</w:t>
      </w:r>
    </w:p>
    <w:p>
      <w:pPr>
        <w:spacing w:after="60" w:line="312"/>
        <w:ind w:left="360" w:hanging="240"/>
        <w:jc w:val="left"/>
      </w:pPr>
      <w:r>
        <w:rPr>
          <w:rFonts w:ascii="Times New Roman" w:hAnsi="Times New Roman"/>
          <w:color w:val="2B2320"/>
          <w:sz w:val="22"/>
          <w:szCs w:val="22"/>
        </w:rPr>
        <w:t xml:space="preserve">4.  </w:t>
      </w:r>
      <w:r>
        <w:rPr>
          <w:rFonts w:ascii="Times New Roman" w:hAnsi="Times New Roman"/>
          <w:b/>
          <w:bCs/>
          <w:color w:val="2B2320"/>
          <w:sz w:val="22"/>
          <w:szCs w:val="22"/>
        </w:rPr>
        <w:t xml:space="preserve">What does "43 campaigns PASS" mean?</w:t>
      </w:r>
      <w:r>
        <w:rPr>
          <w:rFonts w:ascii="Times New Roman" w:hAnsi="Times New Roman"/>
          <w:color w:val="2B2320"/>
          <w:sz w:val="22"/>
          <w:szCs w:val="22"/>
        </w:rPr>
        <w:t xml:space="preserve"> All 43 campaigns with pre-registered thresholds ended with PASS verdicts; two thresholds (ES2, ES5) were replaced before the verdicts were accepted, and the replacements are published.</w:t>
      </w:r>
    </w:p>
    <w:p>
      <w:pPr>
        <w:pStyle w:val="Heading2"/>
        <w:spacing w:after="120" w:before="280" w:line="312"/>
      </w:pPr>
      <w:bookmarkStart w:name="_Toc177" w:id="177"/>
      <w:r>
        <w:rPr>
          <w:rFonts w:ascii="Times New Roman" w:hAnsi="Times New Roman"/>
          <w:b/>
          <w:bCs/>
          <w:color w:val="7A5C48"/>
          <w:sz w:val="26"/>
          <w:szCs w:val="26"/>
        </w:rPr>
        <w:t xml:space="preserve">37.2. Technology questions</w:t>
      </w:r>
      <w:bookmarkEnd w:id="177"/>
    </w:p>
    <w:p>
      <w:pPr>
        <w:spacing w:after="60" w:line="312"/>
        <w:ind w:left="360" w:hanging="240"/>
        <w:jc w:val="left"/>
      </w:pPr>
      <w:r>
        <w:rPr>
          <w:rFonts w:ascii="Times New Roman" w:hAnsi="Times New Roman"/>
          <w:color w:val="2B2320"/>
          <w:sz w:val="22"/>
          <w:szCs w:val="22"/>
        </w:rPr>
        <w:t xml:space="preserve">1.  </w:t>
      </w:r>
      <w:r>
        <w:rPr>
          <w:rFonts w:ascii="Times New Roman" w:hAnsi="Times New Roman"/>
          <w:b/>
          <w:bCs/>
          <w:color w:val="2B2320"/>
          <w:sz w:val="22"/>
          <w:szCs w:val="22"/>
        </w:rPr>
        <w:t xml:space="preserve">What is an AB cloud?</w:t>
      </w:r>
      <w:r>
        <w:rPr>
          <w:rFonts w:ascii="Times New Roman" w:hAnsi="Times New Roman"/>
          <w:color w:val="2B2320"/>
          <w:sz w:val="22"/>
          <w:szCs w:val="22"/>
        </w:rPr>
        <w:t xml:space="preserve"> The elementary unitary operation of the ISA: a ring of phases with an Aharonov–Bohm flux; clouds compose with exact accounting of the geometric phase.</w:t>
      </w:r>
    </w:p>
    <w:p>
      <w:pPr>
        <w:spacing w:after="60" w:line="312"/>
        <w:ind w:left="360" w:hanging="240"/>
        <w:jc w:val="left"/>
      </w:pPr>
      <w:r>
        <w:rPr>
          <w:rFonts w:ascii="Times New Roman" w:hAnsi="Times New Roman"/>
          <w:color w:val="2B2320"/>
          <w:sz w:val="22"/>
          <w:szCs w:val="22"/>
        </w:rPr>
        <w:t xml:space="preserve">2.  </w:t>
      </w:r>
      <w:r>
        <w:rPr>
          <w:rFonts w:ascii="Times New Roman" w:hAnsi="Times New Roman"/>
          <w:b/>
          <w:bCs/>
          <w:color w:val="2B2320"/>
          <w:sz w:val="22"/>
          <w:szCs w:val="22"/>
        </w:rPr>
        <w:t xml:space="preserve">Why does the compiler produce 10 gates for 2q instead of 3 (KAK)?</w:t>
      </w:r>
      <w:r>
        <w:rPr>
          <w:rFonts w:ascii="Times New Roman" w:hAnsi="Times New Roman"/>
          <w:color w:val="2B2320"/>
          <w:sz w:val="22"/>
          <w:szCs w:val="22"/>
        </w:rPr>
        <w:t xml:space="preserve"> The ISA class cannot express the KAK-optimal sequence; this is a property of the class, fixed by E18 as an honest boundary.</w:t>
      </w:r>
    </w:p>
    <w:p>
      <w:pPr>
        <w:spacing w:after="60" w:line="312"/>
        <w:ind w:left="360" w:hanging="240"/>
        <w:jc w:val="left"/>
      </w:pPr>
      <w:r>
        <w:rPr>
          <w:rFonts w:ascii="Times New Roman" w:hAnsi="Times New Roman"/>
          <w:color w:val="2B2320"/>
          <w:sz w:val="22"/>
          <w:szCs w:val="22"/>
        </w:rPr>
        <w:t xml:space="preserve">3.  </w:t>
      </w:r>
      <w:r>
        <w:rPr>
          <w:rFonts w:ascii="Times New Roman" w:hAnsi="Times New Roman"/>
          <w:b/>
          <w:bCs/>
          <w:color w:val="2B2320"/>
          <w:sz w:val="22"/>
          <w:szCs w:val="22"/>
        </w:rPr>
        <w:t xml:space="preserve">How large is the ×59,000 speed-up?</w:t>
      </w:r>
      <w:r>
        <w:rPr>
          <w:rFonts w:ascii="Times New Roman" w:hAnsi="Times New Roman"/>
          <w:color w:val="2B2320"/>
          <w:sz w:val="22"/>
          <w:szCs w:val="22"/>
        </w:rPr>
        <w:t xml:space="preserve"> It is the total time against the best of five baselines under equal ISA constraints (class B, E18), at equal accuracy.</w:t>
      </w:r>
    </w:p>
    <w:p>
      <w:pPr>
        <w:spacing w:after="60" w:line="312"/>
        <w:ind w:left="360" w:hanging="240"/>
        <w:jc w:val="left"/>
      </w:pPr>
      <w:r>
        <w:rPr>
          <w:rFonts w:ascii="Times New Roman" w:hAnsi="Times New Roman"/>
          <w:color w:val="2B2320"/>
          <w:sz w:val="22"/>
          <w:szCs w:val="22"/>
        </w:rPr>
        <w:t xml:space="preserve">4.  </w:t>
      </w:r>
      <w:r>
        <w:rPr>
          <w:rFonts w:ascii="Times New Roman" w:hAnsi="Times New Roman"/>
          <w:b/>
          <w:bCs/>
          <w:color w:val="2B2320"/>
          <w:sz w:val="22"/>
          <w:szCs w:val="22"/>
        </w:rPr>
        <w:t xml:space="preserve">What does volatility buy?</w:t>
      </w:r>
      <w:r>
        <w:rPr>
          <w:rFonts w:ascii="Times New Roman" w:hAnsi="Times New Roman"/>
          <w:color w:val="2B2320"/>
          <w:sz w:val="22"/>
          <w:szCs w:val="22"/>
        </w:rPr>
        <w:t xml:space="preserve"> Real-time determinism: O(1) steps against the Ω(t) log (TS3); a reset erases information to the chance level (TS2).</w:t>
      </w:r>
    </w:p>
    <w:p>
      <w:pPr>
        <w:pStyle w:val="Heading2"/>
        <w:spacing w:after="120" w:before="280" w:line="312"/>
      </w:pPr>
      <w:bookmarkStart w:name="_Toc178" w:id="178"/>
      <w:r>
        <w:rPr>
          <w:rFonts w:ascii="Times New Roman" w:hAnsi="Times New Roman"/>
          <w:b/>
          <w:bCs/>
          <w:color w:val="7A5C48"/>
          <w:sz w:val="26"/>
          <w:szCs w:val="26"/>
        </w:rPr>
        <w:t xml:space="preserve">37.3. Practical questions</w:t>
      </w:r>
      <w:bookmarkEnd w:id="178"/>
    </w:p>
    <w:p>
      <w:pPr>
        <w:spacing w:after="60" w:line="312"/>
        <w:ind w:left="360" w:hanging="240"/>
        <w:jc w:val="left"/>
      </w:pPr>
      <w:r>
        <w:rPr>
          <w:rFonts w:ascii="Times New Roman" w:hAnsi="Times New Roman"/>
          <w:color w:val="2B2320"/>
          <w:sz w:val="22"/>
          <w:szCs w:val="22"/>
        </w:rPr>
        <w:t xml:space="preserve">1.  </w:t>
      </w:r>
      <w:r>
        <w:rPr>
          <w:rFonts w:ascii="Times New Roman" w:hAnsi="Times New Roman"/>
          <w:b/>
          <w:bCs/>
          <w:color w:val="2B2320"/>
          <w:sz w:val="22"/>
          <w:szCs w:val="22"/>
        </w:rPr>
        <w:t xml:space="preserve">How to reproduce the results?</w:t>
      </w:r>
      <w:r>
        <w:rPr>
          <w:rFonts w:ascii="Times New Roman" w:hAnsi="Times New Roman"/>
          <w:color w:val="2B2320"/>
          <w:sz w:val="22"/>
          <w:szCs w:val="22"/>
        </w:rPr>
        <w:t xml:space="preserve"> The full ES run — python3 experiments/run_all.py (~2.5 min); verification — julia run_all.jl all; integrity — python3 scripts/validate_package.py.</w:t>
      </w:r>
    </w:p>
    <w:p>
      <w:pPr>
        <w:spacing w:after="60" w:line="312"/>
        <w:ind w:left="360" w:hanging="240"/>
        <w:jc w:val="left"/>
      </w:pPr>
      <w:r>
        <w:rPr>
          <w:rFonts w:ascii="Times New Roman" w:hAnsi="Times New Roman"/>
          <w:color w:val="2B2320"/>
          <w:sz w:val="22"/>
          <w:szCs w:val="22"/>
        </w:rPr>
        <w:t xml:space="preserve">2.  </w:t>
      </w:r>
      <w:r>
        <w:rPr>
          <w:rFonts w:ascii="Times New Roman" w:hAnsi="Times New Roman"/>
          <w:b/>
          <w:bCs/>
          <w:color w:val="2B2320"/>
          <w:sz w:val="22"/>
          <w:szCs w:val="22"/>
        </w:rPr>
        <w:t xml:space="preserve">Can I test my own hypothesis?</w:t>
      </w:r>
      <w:r>
        <w:rPr>
          <w:rFonts w:ascii="Times New Roman" w:hAnsi="Times New Roman"/>
          <w:color w:val="2B2320"/>
          <w:sz w:val="22"/>
          <w:szCs w:val="22"/>
        </w:rPr>
        <w:t xml:space="preserve"> Yes: HYPOTHESIS_LAB — the CLI (ab_lab.py) and the browser laboratory; the discipline is the same: thresholds before the run, does_not_prove, pins.</w:t>
      </w:r>
    </w:p>
    <w:p>
      <w:pPr>
        <w:spacing w:after="60" w:line="312"/>
        <w:ind w:left="360" w:hanging="240"/>
        <w:jc w:val="left"/>
      </w:pPr>
      <w:r>
        <w:rPr>
          <w:rFonts w:ascii="Times New Roman" w:hAnsi="Times New Roman"/>
          <w:color w:val="2B2320"/>
          <w:sz w:val="22"/>
          <w:szCs w:val="22"/>
        </w:rPr>
        <w:t xml:space="preserve">3.  </w:t>
      </w:r>
      <w:r>
        <w:rPr>
          <w:rFonts w:ascii="Times New Roman" w:hAnsi="Times New Roman"/>
          <w:b/>
          <w:bCs/>
          <w:color w:val="2B2320"/>
          <w:sz w:val="22"/>
          <w:szCs w:val="22"/>
        </w:rPr>
        <w:t xml:space="preserve">Where are the program boundaries?</w:t>
      </w:r>
      <w:r>
        <w:rPr>
          <w:rFonts w:ascii="Times New Roman" w:hAnsi="Times New Roman"/>
          <w:color w:val="2B2320"/>
          <w:sz w:val="22"/>
          <w:szCs w:val="22"/>
        </w:rPr>
        <w:t xml:space="preserve"> RH is not proved; lattices do not reproduce the arithmetic; the KAK optimum is outside the class; the Markov task class is memoryless; all of this is in the boundary fields of the verdicts.</w:t>
      </w:r>
    </w:p>
    <w:p>
      <w:pPr>
        <w:spacing w:after="60" w:line="312"/>
        <w:ind w:left="360" w:hanging="240"/>
        <w:jc w:val="left"/>
      </w:pPr>
      <w:r>
        <w:rPr>
          <w:rFonts w:ascii="Times New Roman" w:hAnsi="Times New Roman"/>
          <w:color w:val="2B2320"/>
          <w:sz w:val="22"/>
          <w:szCs w:val="22"/>
        </w:rPr>
        <w:t xml:space="preserve">4.  </w:t>
      </w:r>
      <w:r>
        <w:rPr>
          <w:rFonts w:ascii="Times New Roman" w:hAnsi="Times New Roman"/>
          <w:b/>
          <w:bCs/>
          <w:color w:val="2B2320"/>
          <w:sz w:val="22"/>
          <w:szCs w:val="22"/>
        </w:rPr>
        <w:t xml:space="preserve">How to cite?</w:t>
      </w:r>
      <w:r>
        <w:rPr>
          <w:rFonts w:ascii="Times New Roman" w:hAnsi="Times New Roman"/>
          <w:color w:val="2B2320"/>
          <w:sz w:val="22"/>
          <w:szCs w:val="22"/>
        </w:rPr>
        <w:t xml:space="preserve"> CITATION.cff; the BibTeX — in appendix F. The license is proprietary personal: reading, cloning, scholarly runs and citation with attribution are permitted.</w:t>
      </w:r>
    </w:p>
    <w:p>
      <w:pPr>
        <w:pStyle w:val="Heading1"/>
        <w:spacing w:after="160" w:before="360" w:line="312"/>
      </w:pPr>
      <w:bookmarkStart w:name="_Toc179" w:id="179"/>
      <w:r>
        <w:rPr>
          <w:rFonts w:ascii="Times New Roman" w:hAnsi="Times New Roman"/>
          <w:b/>
          <w:bCs/>
          <w:color w:val="2B2320"/>
          <w:sz w:val="32"/>
          <w:szCs w:val="32"/>
        </w:rPr>
        <w:t xml:space="preserve">Chapter 38. Contribution, Ethics and License</w:t>
      </w:r>
      <w:bookmarkEnd w:id="179"/>
    </w:p>
    <w:p>
      <w:pPr>
        <w:spacing w:after="160" w:line="312"/>
        <w:jc w:val="both"/>
      </w:pPr>
      <w:r>
        <w:rPr>
          <w:rFonts w:ascii="Times New Roman" w:hAnsi="Times New Roman"/>
          <w:color w:val="7A5C48"/>
          <w:sz w:val="23"/>
          <w:szCs w:val="23"/>
        </w:rPr>
        <w:t xml:space="preserve">How to participate, what is permitted and prohibited, how the program understands the ethics of reproduction. A short but mandatory chapter.</w:t>
      </w:r>
    </w:p>
    <w:p>
      <w:pPr>
        <w:pStyle w:val="Heading2"/>
        <w:spacing w:after="120" w:before="280" w:line="312"/>
      </w:pPr>
      <w:bookmarkStart w:name="_Toc180" w:id="180"/>
      <w:r>
        <w:rPr>
          <w:rFonts w:ascii="Times New Roman" w:hAnsi="Times New Roman"/>
          <w:b/>
          <w:bCs/>
          <w:color w:val="7A5C48"/>
          <w:sz w:val="26"/>
          <w:szCs w:val="26"/>
        </w:rPr>
        <w:t xml:space="preserve">38.1. How to participate</w:t>
      </w:r>
      <w:bookmarkEnd w:id="180"/>
    </w:p>
    <w:p>
      <w:pPr>
        <w:spacing w:after="120" w:line="312"/>
        <w:jc w:val="both"/>
      </w:pPr>
      <w:r>
        <w:rPr>
          <w:rFonts w:ascii="Times New Roman" w:hAnsi="Times New Roman"/>
          <w:color w:val="2B2320"/>
          <w:sz w:val="22"/>
          <w:szCs w:val="22"/>
        </w:rPr>
        <w:t xml:space="preserve">Three legitimate ways to participate: (1) running and checking — clone, run the tests and campaigns, verify the pins; (2) the hypothesis laboratory — formulate hypotheses in the HYPOTHESIS_LAB format and publish reports; (3) citation and analysis — reviews, seminars, courses with attribution. Changes to the archive itself — by agreement with the author (license, section 3).</w:t>
      </w:r>
    </w:p>
    <w:p>
      <w:pPr>
        <w:pStyle w:val="Heading2"/>
        <w:spacing w:after="120" w:before="280" w:line="312"/>
      </w:pPr>
      <w:bookmarkStart w:name="_Toc181" w:id="181"/>
      <w:r>
        <w:rPr>
          <w:rFonts w:ascii="Times New Roman" w:hAnsi="Times New Roman"/>
          <w:b/>
          <w:bCs/>
          <w:color w:val="7A5C48"/>
          <w:sz w:val="26"/>
          <w:szCs w:val="26"/>
        </w:rPr>
        <w:t xml:space="preserve">38.2. The ethics of reproduction</w:t>
      </w:r>
      <w:bookmarkEnd w:id="181"/>
    </w:p>
    <w:p>
      <w:pPr>
        <w:spacing w:after="120" w:line="312"/>
        <w:jc w:val="both"/>
      </w:pPr>
      <w:r>
        <w:rPr>
          <w:rFonts w:ascii="Times New Roman" w:hAnsi="Times New Roman"/>
          <w:color w:val="2B2320"/>
          <w:sz w:val="22"/>
          <w:szCs w:val="22"/>
        </w:rPr>
        <w:t xml:space="preserve">The program asks its readers to follow the same rules it follows: thresholds before the run; blindness wherever a reference exists; PASS and FAIL published alike; does_not_prove in every claim. A reproduction that "tuned" the threshold after the run is not a reproduction. These rules are not bureaucracy but the condition of a meaningful dispute: the parties must argue about the same thing.</w:t>
      </w:r>
    </w:p>
    <w:p>
      <w:pPr>
        <w:pStyle w:val="Heading2"/>
        <w:spacing w:after="120" w:before="280" w:line="312"/>
      </w:pPr>
      <w:bookmarkStart w:name="_Toc182" w:id="182"/>
      <w:r>
        <w:rPr>
          <w:rFonts w:ascii="Times New Roman" w:hAnsi="Times New Roman"/>
          <w:b/>
          <w:bCs/>
          <w:color w:val="7A5C48"/>
          <w:sz w:val="26"/>
          <w:szCs w:val="26"/>
        </w:rPr>
        <w:t xml:space="preserve">38.3. The license</w:t>
      </w:r>
      <w:bookmarkEnd w:id="182"/>
    </w:p>
    <w:p>
      <w:pPr>
        <w:spacing w:after="120" w:line="312"/>
        <w:jc w:val="both"/>
      </w:pPr>
      <w:r>
        <w:rPr>
          <w:rFonts w:ascii="Times New Roman" w:hAnsi="Times New Roman"/>
          <w:color w:val="2B2320"/>
          <w:sz w:val="22"/>
          <w:szCs w:val="22"/>
        </w:rPr>
        <w:t xml:space="preserve">All materials — under the individual proprietary license of the author: © 2026 Isaev Iskhak Khamzatovich. Permitted: reading, cloning for private non-commercial study, local scholarly runs of the code, citation with attribution and DOI 10.5281/zenodo.21825394. Prohibited without written consent: republishing substantial parts, commercial use, appropriation, using the author's name and ORCID to endorse derivative works. The full text — LICENSE at the repository root and in the MONOGRAPH_ARCHIVE, HYPOTHESIS_LAB, VISUAL_ANIMATIONS folders.</w:t>
      </w:r>
    </w:p>
    <w:p>
      <w:pPr>
        <w:pStyle w:val="Heading1"/>
        <w:spacing w:after="160" w:before="360" w:line="312"/>
      </w:pPr>
      <w:bookmarkStart w:name="_Toc183" w:id="183"/>
      <w:r>
        <w:rPr>
          <w:rFonts w:ascii="Times New Roman" w:hAnsi="Times New Roman"/>
          <w:b/>
          <w:bCs/>
          <w:color w:val="2B2320"/>
          <w:sz w:val="32"/>
          <w:szCs w:val="32"/>
        </w:rPr>
        <w:t xml:space="preserve">Chapter 39. Practicum: Ten Steps Through the Program</w:t>
      </w:r>
      <w:bookmarkEnd w:id="183"/>
    </w:p>
    <w:p>
      <w:pPr>
        <w:spacing w:after="160" w:line="312"/>
        <w:jc w:val="both"/>
      </w:pPr>
      <w:r>
        <w:rPr>
          <w:rFonts w:ascii="Times New Roman" w:hAnsi="Times New Roman"/>
          <w:color w:val="7A5C48"/>
          <w:sz w:val="23"/>
          <w:szCs w:val="23"/>
        </w:rPr>
        <w:t xml:space="preserve">A step-by-step route for the reader who wants not only to read but to run: from integrity checks to their own hypothesis. Each step has a command and an expected result.</w:t>
      </w:r>
    </w:p>
    <w:p>
      <w:pPr>
        <w:pStyle w:val="Heading2"/>
        <w:spacing w:after="120" w:before="280" w:line="312"/>
      </w:pPr>
      <w:bookmarkStart w:name="_Toc184" w:id="184"/>
      <w:r>
        <w:rPr>
          <w:rFonts w:ascii="Times New Roman" w:hAnsi="Times New Roman"/>
          <w:b/>
          <w:bCs/>
          <w:color w:val="7A5C48"/>
          <w:sz w:val="26"/>
          <w:szCs w:val="26"/>
        </w:rPr>
        <w:t xml:space="preserve">39.1. Steps 1–5: verify and see</w:t>
      </w:r>
      <w:bookmarkEnd w:id="184"/>
    </w:p>
    <w:p>
      <w:pPr>
        <w:spacing w:after="60" w:line="312"/>
        <w:ind w:left="360" w:hanging="240"/>
        <w:jc w:val="left"/>
      </w:pPr>
      <w:r>
        <w:rPr>
          <w:rFonts w:ascii="Times New Roman" w:hAnsi="Times New Roman"/>
          <w:color w:val="2B2320"/>
          <w:sz w:val="22"/>
          <w:szCs w:val="22"/>
        </w:rPr>
        <w:t xml:space="preserve">1.  </w:t>
      </w:r>
      <w:r>
        <w:rPr>
          <w:rFonts w:ascii="Times New Roman" w:hAnsi="Times New Roman"/>
          <w:b/>
          <w:bCs/>
          <w:color w:val="2B2320"/>
          <w:sz w:val="22"/>
          <w:szCs w:val="22"/>
        </w:rPr>
        <w:t xml:space="preserve">Package integrity.</w:t>
      </w:r>
      <w:r>
        <w:rPr>
          <w:rFonts w:ascii="Times New Roman" w:hAnsi="Times New Roman"/>
          <w:color w:val="2B2320"/>
          <w:sz w:val="22"/>
          <w:szCs w:val="22"/>
        </w:rPr>
        <w:t xml:space="preserve"> python3 scripts/validate_package.py → 95+ checks, RESULT: PASS. If FAIL — fix the environment first, then continue.</w:t>
      </w:r>
    </w:p>
    <w:p>
      <w:pPr>
        <w:spacing w:after="60" w:line="312"/>
        <w:ind w:left="360" w:hanging="240"/>
        <w:jc w:val="left"/>
      </w:pPr>
      <w:r>
        <w:rPr>
          <w:rFonts w:ascii="Times New Roman" w:hAnsi="Times New Roman"/>
          <w:color w:val="2B2320"/>
          <w:sz w:val="22"/>
          <w:szCs w:val="22"/>
        </w:rPr>
        <w:t xml:space="preserve">2.  </w:t>
      </w:r>
      <w:r>
        <w:rPr>
          <w:rFonts w:ascii="Times New Roman" w:hAnsi="Times New Roman"/>
          <w:b/>
          <w:bCs/>
          <w:color w:val="2B2320"/>
          <w:sz w:val="22"/>
          <w:szCs w:val="22"/>
        </w:rPr>
        <w:t xml:space="preserve">Datasets.</w:t>
      </w:r>
      <w:r>
        <w:rPr>
          <w:rFonts w:ascii="Times New Roman" w:hAnsi="Times New Roman"/>
          <w:color w:val="2B2320"/>
          <w:sz w:val="22"/>
          <w:szCs w:val="22"/>
        </w:rPr>
        <w:t xml:space="preserve"> python3 -c "import csv; [print(r['metric'],'=',r['value']) for r in csv.DictReader(open('datasets/flagship_numbers.csv'))]" → the 15 flagship metrics with verdict sources.</w:t>
      </w:r>
    </w:p>
    <w:p>
      <w:pPr>
        <w:spacing w:after="60" w:line="312"/>
        <w:ind w:left="360" w:hanging="240"/>
        <w:jc w:val="left"/>
      </w:pPr>
      <w:r>
        <w:rPr>
          <w:rFonts w:ascii="Times New Roman" w:hAnsi="Times New Roman"/>
          <w:color w:val="2B2320"/>
          <w:sz w:val="22"/>
          <w:szCs w:val="22"/>
        </w:rPr>
        <w:t xml:space="preserve">3.  </w:t>
      </w:r>
      <w:r>
        <w:rPr>
          <w:rFonts w:ascii="Times New Roman" w:hAnsi="Times New Roman"/>
          <w:b/>
          <w:bCs/>
          <w:color w:val="2B2320"/>
          <w:sz w:val="22"/>
          <w:szCs w:val="22"/>
        </w:rPr>
        <w:t xml:space="preserve">Spinor campaigns.</w:t>
      </w:r>
      <w:r>
        <w:rPr>
          <w:rFonts w:ascii="Times New Roman" w:hAnsi="Times New Roman"/>
          <w:color w:val="2B2320"/>
          <w:sz w:val="22"/>
          <w:szCs w:val="22"/>
        </w:rPr>
        <w:t xml:space="preserve"> cd research/realtime_spinor_memory &amp;&amp; python3 experiments/run_all.py → five campaigns ES1–ES5 in ~2.5 minutes, all PASS.</w:t>
      </w:r>
    </w:p>
    <w:p>
      <w:pPr>
        <w:spacing w:after="60" w:line="312"/>
        <w:ind w:left="360" w:hanging="240"/>
        <w:jc w:val="left"/>
      </w:pPr>
      <w:r>
        <w:rPr>
          <w:rFonts w:ascii="Times New Roman" w:hAnsi="Times New Roman"/>
          <w:color w:val="2B2320"/>
          <w:sz w:val="22"/>
          <w:szCs w:val="22"/>
        </w:rPr>
        <w:t xml:space="preserve">4.  </w:t>
      </w:r>
      <w:r>
        <w:rPr>
          <w:rFonts w:ascii="Times New Roman" w:hAnsi="Times New Roman"/>
          <w:b/>
          <w:bCs/>
          <w:color w:val="2B2320"/>
          <w:sz w:val="22"/>
          <w:szCs w:val="22"/>
        </w:rPr>
        <w:t xml:space="preserve">Verification.</w:t>
      </w:r>
      <w:r>
        <w:rPr>
          <w:rFonts w:ascii="Times New Roman" w:hAnsi="Times New Roman"/>
          <w:color w:val="2B2320"/>
          <w:sz w:val="22"/>
          <w:szCs w:val="22"/>
        </w:rPr>
        <w:t xml:space="preserve"> julia modules/verifier_multilang/experiments/run_all.jl all → 18 campaigns E01–E18, all PASS; then verdicts.jl prints the summary.</w:t>
      </w:r>
    </w:p>
    <w:p>
      <w:pPr>
        <w:spacing w:after="60" w:line="312"/>
        <w:ind w:left="360" w:hanging="240"/>
        <w:jc w:val="left"/>
      </w:pPr>
      <w:r>
        <w:rPr>
          <w:rFonts w:ascii="Times New Roman" w:hAnsi="Times New Roman"/>
          <w:color w:val="2B2320"/>
          <w:sz w:val="22"/>
          <w:szCs w:val="22"/>
        </w:rPr>
        <w:t xml:space="preserve">5.  </w:t>
      </w:r>
      <w:r>
        <w:rPr>
          <w:rFonts w:ascii="Times New Roman" w:hAnsi="Times New Roman"/>
          <w:b/>
          <w:bCs/>
          <w:color w:val="2B2320"/>
          <w:sz w:val="22"/>
          <w:szCs w:val="22"/>
        </w:rPr>
        <w:t xml:space="preserve">Web laboratories.</w:t>
      </w:r>
      <w:r>
        <w:rPr>
          <w:rFonts w:ascii="Times New Roman" w:hAnsi="Times New Roman"/>
          <w:color w:val="2B2320"/>
          <w:sz w:val="22"/>
          <w:szCs w:val="22"/>
        </w:rPr>
        <w:t xml:space="preserve"> Open web_lab/index.html in the browser → the portal; the core and processor tabs compute Z(t), the λ_n ladder and CHSH locally.</w:t>
      </w:r>
    </w:p>
    <w:p>
      <w:pPr>
        <w:pStyle w:val="Heading2"/>
        <w:spacing w:after="120" w:before="280" w:line="312"/>
      </w:pPr>
      <w:bookmarkStart w:name="_Toc185" w:id="185"/>
      <w:r>
        <w:rPr>
          <w:rFonts w:ascii="Times New Roman" w:hAnsi="Times New Roman"/>
          <w:b/>
          <w:bCs/>
          <w:color w:val="7A5C48"/>
          <w:sz w:val="26"/>
          <w:szCs w:val="26"/>
        </w:rPr>
        <w:t xml:space="preserve">39.2. Steps 6–10: rebuild and test yourself</w:t>
      </w:r>
      <w:bookmarkEnd w:id="185"/>
    </w:p>
    <w:p>
      <w:pPr>
        <w:spacing w:after="60" w:line="312"/>
        <w:ind w:left="360" w:hanging="240"/>
        <w:jc w:val="left"/>
      </w:pPr>
      <w:r>
        <w:rPr>
          <w:rFonts w:ascii="Times New Roman" w:hAnsi="Times New Roman"/>
          <w:color w:val="2B2320"/>
          <w:sz w:val="22"/>
          <w:szCs w:val="22"/>
        </w:rPr>
        <w:t xml:space="preserve">1.  </w:t>
      </w:r>
      <w:r>
        <w:rPr>
          <w:rFonts w:ascii="Times New Roman" w:hAnsi="Times New Roman"/>
          <w:b/>
          <w:bCs/>
          <w:color w:val="2B2320"/>
          <w:sz w:val="22"/>
          <w:szCs w:val="22"/>
        </w:rPr>
        <w:t xml:space="preserve">Tiles.</w:t>
      </w:r>
      <w:r>
        <w:rPr>
          <w:rFonts w:ascii="Times New Roman" w:hAnsi="Times New Roman"/>
          <w:color w:val="2B2320"/>
          <w:sz w:val="22"/>
          <w:szCs w:val="22"/>
        </w:rPr>
        <w:t xml:space="preserve"> python3 scripts/make_tiled_figures.py → the 12 Th1–Th6 tiles rebuilt from verdicts; diff shows zero changes.</w:t>
      </w:r>
    </w:p>
    <w:p>
      <w:pPr>
        <w:spacing w:after="60" w:line="312"/>
        <w:ind w:left="360" w:hanging="240"/>
        <w:jc w:val="left"/>
      </w:pPr>
      <w:r>
        <w:rPr>
          <w:rFonts w:ascii="Times New Roman" w:hAnsi="Times New Roman"/>
          <w:color w:val="2B2320"/>
          <w:sz w:val="22"/>
          <w:szCs w:val="22"/>
        </w:rPr>
        <w:t xml:space="preserve">2.  </w:t>
      </w:r>
      <w:r>
        <w:rPr>
          <w:rFonts w:ascii="Times New Roman" w:hAnsi="Times New Roman"/>
          <w:b/>
          <w:bCs/>
          <w:color w:val="2B2320"/>
          <w:sz w:val="22"/>
          <w:szCs w:val="22"/>
        </w:rPr>
        <w:t xml:space="preserve">Theorem documents.</w:t>
      </w:r>
      <w:r>
        <w:rPr>
          <w:rFonts w:ascii="Times New Roman" w:hAnsi="Times New Roman"/>
          <w:color w:val="2B2320"/>
          <w:sz w:val="22"/>
          <w:szCs w:val="22"/>
        </w:rPr>
        <w:t xml:space="preserve"> python3 scripts/make_theorem_docs.py → 24 documents RU/EN × PDF/DOCX.</w:t>
      </w:r>
    </w:p>
    <w:p>
      <w:pPr>
        <w:spacing w:after="60" w:line="312"/>
        <w:ind w:left="360" w:hanging="240"/>
        <w:jc w:val="left"/>
      </w:pPr>
      <w:r>
        <w:rPr>
          <w:rFonts w:ascii="Times New Roman" w:hAnsi="Times New Roman"/>
          <w:color w:val="2B2320"/>
          <w:sz w:val="22"/>
          <w:szCs w:val="22"/>
        </w:rPr>
        <w:t xml:space="preserve">3.  </w:t>
      </w:r>
      <w:r>
        <w:rPr>
          <w:rFonts w:ascii="Times New Roman" w:hAnsi="Times New Roman"/>
          <w:b/>
          <w:bCs/>
          <w:color w:val="2B2320"/>
          <w:sz w:val="22"/>
          <w:szCs w:val="22"/>
        </w:rPr>
        <w:t xml:space="preserve">Banner and logo.</w:t>
      </w:r>
      <w:r>
        <w:rPr>
          <w:rFonts w:ascii="Times New Roman" w:hAnsi="Times New Roman"/>
          <w:color w:val="2B2320"/>
          <w:sz w:val="22"/>
          <w:szCs w:val="22"/>
        </w:rPr>
        <w:t xml:space="preserve"> python3 scripts/make_banner.py → the animated banner (zeros rising along Re(s)=½).</w:t>
      </w:r>
    </w:p>
    <w:p>
      <w:pPr>
        <w:spacing w:after="60" w:line="312"/>
        <w:ind w:left="360" w:hanging="240"/>
        <w:jc w:val="left"/>
      </w:pPr>
      <w:r>
        <w:rPr>
          <w:rFonts w:ascii="Times New Roman" w:hAnsi="Times New Roman"/>
          <w:color w:val="2B2320"/>
          <w:sz w:val="22"/>
          <w:szCs w:val="22"/>
        </w:rPr>
        <w:t xml:space="preserve">4.  </w:t>
      </w:r>
      <w:r>
        <w:rPr>
          <w:rFonts w:ascii="Times New Roman" w:hAnsi="Times New Roman"/>
          <w:b/>
          <w:bCs/>
          <w:color w:val="2B2320"/>
          <w:sz w:val="22"/>
          <w:szCs w:val="22"/>
        </w:rPr>
        <w:t xml:space="preserve">Timeline and atlas.</w:t>
      </w:r>
      <w:r>
        <w:rPr>
          <w:rFonts w:ascii="Times New Roman" w:hAnsi="Times New Roman"/>
          <w:color w:val="2B2320"/>
          <w:sz w:val="22"/>
          <w:szCs w:val="22"/>
        </w:rPr>
        <w:t xml:space="preserve"> python3 scripts/make_timeline.py &amp;&amp; python3 scripts/make_atlas.py → the map of 43 campaigns and the flagship atlas.</w:t>
      </w:r>
    </w:p>
    <w:p>
      <w:pPr>
        <w:spacing w:after="60" w:line="312"/>
        <w:ind w:left="360" w:hanging="240"/>
        <w:jc w:val="left"/>
      </w:pPr>
      <w:r>
        <w:rPr>
          <w:rFonts w:ascii="Times New Roman" w:hAnsi="Times New Roman"/>
          <w:color w:val="2B2320"/>
          <w:sz w:val="22"/>
          <w:szCs w:val="22"/>
        </w:rPr>
        <w:t xml:space="preserve">5.  </w:t>
      </w:r>
      <w:r>
        <w:rPr>
          <w:rFonts w:ascii="Times New Roman" w:hAnsi="Times New Roman"/>
          <w:b/>
          <w:bCs/>
          <w:color w:val="2B2320"/>
          <w:sz w:val="22"/>
          <w:szCs w:val="22"/>
        </w:rPr>
        <w:t xml:space="preserve">Your own hypothesis.</w:t>
      </w:r>
      <w:r>
        <w:rPr>
          <w:rFonts w:ascii="Times New Roman" w:hAnsi="Times New Roman"/>
          <w:color w:val="2B2320"/>
          <w:sz w:val="22"/>
          <w:szCs w:val="22"/>
        </w:rPr>
        <w:t xml:space="preserve"> cd HYPOTHESIS_LAB &amp;&amp; python3 ab_lab.py run spinor --theta 0.37 → a PASS/FAIL verdict with does_not_prove; the report in reports/.</w:t>
      </w:r>
    </w:p>
    <w:tbl>
      <w:tblPr>
        <w:tblW w:type="pct" w:w="2750"/>
        <w:jc w:val="center"/>
        <w:tblBorders>
          <w:top w:val="single" w:color="C96F4A" w:sz="6"/>
          <w:left w:val="single" w:color="C96F4A" w:sz="6"/>
          <w:bottom w:val="single" w:color="C96F4A" w:sz="6"/>
          <w:right w:val="single" w:color="C96F4A" w:sz="6"/>
          <w:insideH w:val="none" w:color="FFFFFF" w:sz="0"/>
          <w:insideV w:val="none" w:color="FFFFFF" w:sz="0"/>
        </w:tblBorders>
      </w:tblPr>
      <w:tblGrid>
        <w:gridCol w:w="4964"/>
      </w:tblGrid>
      <w:tr>
        <w:trPr>
          <w:cantSplit/>
        </w:trPr>
        <w:tc>
          <w:tcPr>
            <w:shd w:fill="F5EDE8" w:val="clear"/>
            <w:tcMar>
              <w:top w:type="dxa" w:w="120"/>
              <w:left w:type="dxa" w:w="200"/>
              <w:bottom w:type="dxa" w:w="120"/>
              <w:right w:type="dxa" w:w="200"/>
            </w:tcMar>
          </w:tcPr>
          <w:p>
            <w:pPr>
              <w:spacing w:after="40"/>
              <w:jc w:val="center"/>
            </w:pPr>
            <w:r>
              <w:rPr>
                <w:rFonts w:ascii="Times New Roman" w:hAnsi="Times New Roman"/>
                <w:b/>
                <w:bCs/>
                <w:color w:val="C96F4A"/>
                <w:sz w:val="36"/>
                <w:szCs w:val="36"/>
              </w:rPr>
              <w:t xml:space="preserve">10 steps · 0 external services</w:t>
            </w:r>
          </w:p>
          <w:p>
            <w:pPr>
              <w:jc w:val="center"/>
            </w:pPr>
            <w:r>
              <w:rPr>
                <w:rFonts w:ascii="Times New Roman" w:hAnsi="Times New Roman"/>
                <w:color w:val="8A8078"/>
                <w:sz w:val="17"/>
                <w:szCs w:val="17"/>
              </w:rPr>
              <w:t xml:space="preserve">the whole practicum runs locally; no network needed</w:t>
            </w:r>
          </w:p>
        </w:tc>
      </w:tr>
    </w:tbl>
    <w:p>
      <w:pPr>
        <w:spacing w:after="100"/>
      </w:pPr>
    </w:p>
    <w:p>
      <w:pPr>
        <w:pStyle w:val="Heading2"/>
        <w:spacing w:after="120" w:before="280" w:line="312"/>
      </w:pPr>
      <w:bookmarkStart w:name="_Toc186" w:id="186"/>
      <w:r>
        <w:rPr>
          <w:rFonts w:ascii="Times New Roman" w:hAnsi="Times New Roman"/>
          <w:b/>
          <w:bCs/>
          <w:color w:val="7A5C48"/>
          <w:sz w:val="26"/>
          <w:szCs w:val="26"/>
        </w:rPr>
        <w:t xml:space="preserve">39.3. If something disagrees</w:t>
      </w:r>
      <w:bookmarkEnd w:id="186"/>
    </w:p>
    <w:p>
      <w:pPr>
        <w:spacing w:after="120" w:line="312"/>
        <w:jc w:val="both"/>
      </w:pPr>
      <w:r>
        <w:rPr>
          <w:rFonts w:ascii="Times New Roman" w:hAnsi="Times New Roman"/>
          <w:color w:val="2B2320"/>
          <w:sz w:val="22"/>
          <w:szCs w:val="22"/>
        </w:rPr>
        <w:t xml:space="preserve">First — read the validator line: it names the file and the reason. Second — check the version (VERSION) and the branch. Third — run the whole level: half-runs give half-verdicts. Fourth — if the disagreement is stable, it is an erratum candidate: the program publishes such findings rather than hiding them (see chapter 2).</w:t>
      </w:r>
    </w:p>
    <w:p>
      <w:pPr>
        <w:pStyle w:val="Heading1"/>
        <w:spacing w:after="160" w:before="360" w:line="312"/>
      </w:pPr>
      <w:bookmarkStart w:name="_Toc187" w:id="187"/>
      <w:r>
        <w:rPr>
          <w:rFonts w:ascii="Times New Roman" w:hAnsi="Times New Roman"/>
          <w:b/>
          <w:bCs/>
          <w:color w:val="2B2320"/>
          <w:sz w:val="32"/>
          <w:szCs w:val="32"/>
        </w:rPr>
        <w:t xml:space="preserve">Chapter 40. The Thematic Index</w:t>
      </w:r>
      <w:bookmarkEnd w:id="187"/>
    </w:p>
    <w:p>
      <w:pPr>
        <w:spacing w:after="160" w:line="312"/>
        <w:jc w:val="both"/>
      </w:pPr>
      <w:r>
        <w:rPr>
          <w:rFonts w:ascii="Times New Roman" w:hAnsi="Times New Roman"/>
          <w:color w:val="7A5C48"/>
          <w:sz w:val="23"/>
          <w:szCs w:val="23"/>
        </w:rPr>
        <w:t xml:space="preserve">A cross-index "topic → campaigns and theorems" for fast navigation: where to look for statistics, arithmetic, compilation, nonlocality, volatility and the discipline.</w:t>
      </w:r>
    </w:p>
    <w:p>
      <w:pPr>
        <w:keepNext/>
        <w:spacing w:after="80" w:before="160"/>
        <w:jc w:val="center"/>
      </w:pPr>
      <w:r>
        <w:rPr>
          <w:rFonts w:ascii="Times New Roman" w:hAnsi="Times New Roman"/>
          <w:b/>
          <w:bCs/>
          <w:color w:val="7A5C48"/>
          <w:sz w:val="19"/>
          <w:szCs w:val="19"/>
        </w:rPr>
        <w:t xml:space="preserve">Table 40.1. Topics and their artifacts</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2527"/>
        <w:gridCol w:w="3069"/>
        <w:gridCol w:w="3430"/>
      </w:tblGrid>
      <w:tr>
        <w:trPr>
          <w:cantSplit/>
          <w:tblHeader/>
        </w:trPr>
        <w:tc>
          <w:tcPr>
            <w:tcW w:type="pct" w:w="14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Topic</w:t>
            </w:r>
          </w:p>
        </w:tc>
        <w:tc>
          <w:tcPr>
            <w:tcW w:type="pct" w:w="17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Campaigns</w:t>
            </w:r>
          </w:p>
        </w:tc>
        <w:tc>
          <w:tcPr>
            <w:tcW w:type="pct" w:w="19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Theorems/documents</w:t>
            </w:r>
          </w:p>
        </w:tc>
      </w:tr>
      <w:tr>
        <w:trPr>
          <w:cantSplit/>
        </w:trPr>
        <w:tc>
          <w:tcPr>
            <w:tcW w:type="pct" w:w="1400"/>
            <w:tcMar>
              <w:top w:type="dxa" w:w="60"/>
              <w:left w:type="dxa" w:w="120"/>
              <w:bottom w:type="dxa" w:w="60"/>
              <w:right w:type="dxa" w:w="120"/>
            </w:tcMar>
          </w:tcPr>
          <w:p>
            <w:pPr>
              <w:spacing w:line="276"/>
            </w:pPr>
            <w:r>
              <w:rPr>
                <w:rFonts w:ascii="Times New Roman" w:hAnsi="Times New Roman"/>
                <w:color w:val="2B2320"/>
                <w:sz w:val="18"/>
                <w:szCs w:val="18"/>
              </w:rPr>
              <w:t xml:space="preserve">spectral statistics</w:t>
            </w:r>
          </w:p>
        </w:tc>
        <w:tc>
          <w:tcPr>
            <w:tcW w:type="pct" w:w="1700"/>
            <w:tcMar>
              <w:top w:type="dxa" w:w="60"/>
              <w:left w:type="dxa" w:w="120"/>
              <w:bottom w:type="dxa" w:w="60"/>
              <w:right w:type="dxa" w:w="120"/>
            </w:tcMar>
          </w:tcPr>
          <w:p>
            <w:pPr>
              <w:spacing w:line="276"/>
            </w:pPr>
            <w:r>
              <w:rPr>
                <w:rFonts w:ascii="Times New Roman" w:hAnsi="Times New Roman"/>
                <w:color w:val="2B2320"/>
                <w:sz w:val="18"/>
                <w:szCs w:val="18"/>
              </w:rPr>
              <w:t xml:space="preserve">V01, V02, V03, V16</w:t>
            </w:r>
          </w:p>
        </w:tc>
        <w:tc>
          <w:tcPr>
            <w:tcW w:type="pct" w:w="1900"/>
            <w:tcMar>
              <w:top w:type="dxa" w:w="60"/>
              <w:left w:type="dxa" w:w="120"/>
              <w:bottom w:type="dxa" w:w="60"/>
              <w:right w:type="dxa" w:w="120"/>
            </w:tcMar>
          </w:tcPr>
          <w:p>
            <w:pPr>
              <w:spacing w:line="276"/>
            </w:pPr>
            <w:r>
              <w:rPr>
                <w:rFonts w:ascii="Times New Roman" w:hAnsi="Times New Roman"/>
                <w:color w:val="2B2320"/>
                <w:sz w:val="18"/>
                <w:szCs w:val="18"/>
              </w:rPr>
              <w:t xml:space="preserve">Th1; Th1/Th2 tiles</w:t>
            </w:r>
          </w:p>
        </w:tc>
      </w:tr>
      <w:tr>
        <w:trPr>
          <w:cantSplit/>
        </w:trPr>
        <w:tc>
          <w:tcPr>
            <w:tcW w:type="pct" w:w="1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arithmetic of the primes</w:t>
            </w:r>
          </w:p>
        </w:tc>
        <w:tc>
          <w:tcPr>
            <w:tcW w:type="pct" w:w="1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V07</w:t>
            </w:r>
          </w:p>
        </w:tc>
        <w:tc>
          <w:tcPr>
            <w:tcW w:type="pct" w:w="19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Th6; the Th6 tile; the ψ-ladder</w:t>
            </w:r>
          </w:p>
        </w:tc>
      </w:tr>
      <w:tr>
        <w:trPr>
          <w:cantSplit/>
        </w:trPr>
        <w:tc>
          <w:tcPr>
            <w:tcW w:type="pct" w:w="1400"/>
            <w:tcMar>
              <w:top w:type="dxa" w:w="60"/>
              <w:left w:type="dxa" w:w="120"/>
              <w:bottom w:type="dxa" w:w="60"/>
              <w:right w:type="dxa" w:w="120"/>
            </w:tcMar>
          </w:tcPr>
          <w:p>
            <w:pPr>
              <w:spacing w:line="276"/>
            </w:pPr>
            <w:r>
              <w:rPr>
                <w:rFonts w:ascii="Times New Roman" w:hAnsi="Times New Roman"/>
                <w:color w:val="2B2320"/>
                <w:sz w:val="18"/>
                <w:szCs w:val="18"/>
              </w:rPr>
              <w:t xml:space="preserve">accuracy certificates</w:t>
            </w:r>
          </w:p>
        </w:tc>
        <w:tc>
          <w:tcPr>
            <w:tcW w:type="pct" w:w="1700"/>
            <w:tcMar>
              <w:top w:type="dxa" w:w="60"/>
              <w:left w:type="dxa" w:w="120"/>
              <w:bottom w:type="dxa" w:w="60"/>
              <w:right w:type="dxa" w:w="120"/>
            </w:tcMar>
          </w:tcPr>
          <w:p>
            <w:pPr>
              <w:spacing w:line="276"/>
            </w:pPr>
            <w:r>
              <w:rPr>
                <w:rFonts w:ascii="Times New Roman" w:hAnsi="Times New Roman"/>
                <w:color w:val="2B2320"/>
                <w:sz w:val="18"/>
                <w:szCs w:val="18"/>
              </w:rPr>
              <w:t xml:space="preserve">V12, V15, V10</w:t>
            </w:r>
          </w:p>
        </w:tc>
        <w:tc>
          <w:tcPr>
            <w:tcW w:type="pct" w:w="1900"/>
            <w:tcMar>
              <w:top w:type="dxa" w:w="60"/>
              <w:left w:type="dxa" w:w="120"/>
              <w:bottom w:type="dxa" w:w="60"/>
              <w:right w:type="dxa" w:w="120"/>
            </w:tcMar>
          </w:tcPr>
          <w:p>
            <w:pPr>
              <w:spacing w:line="276"/>
            </w:pPr>
            <w:r>
              <w:rPr>
                <w:rFonts w:ascii="Times New Roman" w:hAnsi="Times New Roman"/>
                <w:color w:val="2B2320"/>
                <w:sz w:val="18"/>
                <w:szCs w:val="18"/>
              </w:rPr>
              <w:t xml:space="preserve">Th3, Th4</w:t>
            </w:r>
          </w:p>
        </w:tc>
      </w:tr>
      <w:tr>
        <w:trPr>
          <w:cantSplit/>
        </w:trPr>
        <w:tc>
          <w:tcPr>
            <w:tcW w:type="pct" w:w="1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structure and reduction</w:t>
            </w:r>
          </w:p>
        </w:tc>
        <w:tc>
          <w:tcPr>
            <w:tcW w:type="pct" w:w="1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V09</w:t>
            </w:r>
          </w:p>
        </w:tc>
        <w:tc>
          <w:tcPr>
            <w:tcW w:type="pct" w:w="19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Th5</w:t>
            </w:r>
          </w:p>
        </w:tc>
      </w:tr>
      <w:tr>
        <w:trPr>
          <w:cantSplit/>
        </w:trPr>
        <w:tc>
          <w:tcPr>
            <w:tcW w:type="pct" w:w="1400"/>
            <w:tcMar>
              <w:top w:type="dxa" w:w="60"/>
              <w:left w:type="dxa" w:w="120"/>
              <w:bottom w:type="dxa" w:w="60"/>
              <w:right w:type="dxa" w:w="120"/>
            </w:tcMar>
          </w:tcPr>
          <w:p>
            <w:pPr>
              <w:spacing w:line="276"/>
            </w:pPr>
            <w:r>
              <w:rPr>
                <w:rFonts w:ascii="Times New Roman" w:hAnsi="Times New Roman"/>
                <w:color w:val="2B2320"/>
                <w:sz w:val="18"/>
                <w:szCs w:val="18"/>
              </w:rPr>
              <w:t xml:space="preserve">the obligation machine</w:t>
            </w:r>
          </w:p>
        </w:tc>
        <w:tc>
          <w:tcPr>
            <w:tcW w:type="pct" w:w="1700"/>
            <w:tcMar>
              <w:top w:type="dxa" w:w="60"/>
              <w:left w:type="dxa" w:w="120"/>
              <w:bottom w:type="dxa" w:w="60"/>
              <w:right w:type="dxa" w:w="120"/>
            </w:tcMar>
          </w:tcPr>
          <w:p>
            <w:pPr>
              <w:spacing w:line="276"/>
            </w:pPr>
            <w:r>
              <w:rPr>
                <w:rFonts w:ascii="Times New Roman" w:hAnsi="Times New Roman"/>
                <w:color w:val="2B2320"/>
                <w:sz w:val="18"/>
                <w:szCs w:val="18"/>
              </w:rPr>
              <w:t xml:space="preserve">V11, V13, V14</w:t>
            </w:r>
          </w:p>
        </w:tc>
        <w:tc>
          <w:tcPr>
            <w:tcW w:type="pct" w:w="1900"/>
            <w:tcMar>
              <w:top w:type="dxa" w:w="60"/>
              <w:left w:type="dxa" w:w="120"/>
              <w:bottom w:type="dxa" w:w="60"/>
              <w:right w:type="dxa" w:w="120"/>
            </w:tcMar>
          </w:tcPr>
          <w:p>
            <w:pPr>
              <w:spacing w:line="276"/>
            </w:pPr>
            <w:r>
              <w:rPr>
                <w:rFonts w:ascii="Times New Roman" w:hAnsi="Times New Roman"/>
                <w:color w:val="2B2320"/>
                <w:sz w:val="18"/>
                <w:szCs w:val="18"/>
              </w:rPr>
              <w:t xml:space="preserve">the V13 DAG; appendix L</w:t>
            </w:r>
          </w:p>
        </w:tc>
      </w:tr>
      <w:tr>
        <w:trPr>
          <w:cantSplit/>
        </w:trPr>
        <w:tc>
          <w:tcPr>
            <w:tcW w:type="pct" w:w="1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stitching and monodromy</w:t>
            </w:r>
          </w:p>
        </w:tc>
        <w:tc>
          <w:tcPr>
            <w:tcW w:type="pct" w:w="1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V19</w:t>
            </w:r>
          </w:p>
        </w:tc>
        <w:tc>
          <w:tcPr>
            <w:tcW w:type="pct" w:w="19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V19 README</w:t>
            </w:r>
          </w:p>
        </w:tc>
      </w:tr>
      <w:tr>
        <w:trPr>
          <w:cantSplit/>
        </w:trPr>
        <w:tc>
          <w:tcPr>
            <w:tcW w:type="pct" w:w="1400"/>
            <w:tcMar>
              <w:top w:type="dxa" w:w="60"/>
              <w:left w:type="dxa" w:w="120"/>
              <w:bottom w:type="dxa" w:w="60"/>
              <w:right w:type="dxa" w:w="120"/>
            </w:tcMar>
          </w:tcPr>
          <w:p>
            <w:pPr>
              <w:spacing w:line="276"/>
            </w:pPr>
            <w:r>
              <w:rPr>
                <w:rFonts w:ascii="Times New Roman" w:hAnsi="Times New Roman"/>
                <w:color w:val="2B2320"/>
                <w:sz w:val="18"/>
                <w:szCs w:val="18"/>
              </w:rPr>
              <w:t xml:space="preserve">ISA and compilation</w:t>
            </w:r>
          </w:p>
        </w:tc>
        <w:tc>
          <w:tcPr>
            <w:tcW w:type="pct" w:w="1700"/>
            <w:tcMar>
              <w:top w:type="dxa" w:w="60"/>
              <w:left w:type="dxa" w:w="120"/>
              <w:bottom w:type="dxa" w:w="60"/>
              <w:right w:type="dxa" w:w="120"/>
            </w:tcMar>
          </w:tcPr>
          <w:p>
            <w:pPr>
              <w:spacing w:line="276"/>
            </w:pPr>
            <w:r>
              <w:rPr>
                <w:rFonts w:ascii="Times New Roman" w:hAnsi="Times New Roman"/>
                <w:color w:val="2B2320"/>
                <w:sz w:val="18"/>
                <w:szCs w:val="18"/>
              </w:rPr>
              <w:t xml:space="preserve">V20, E18</w:t>
            </w:r>
          </w:p>
        </w:tc>
        <w:tc>
          <w:tcPr>
            <w:tcW w:type="pct" w:w="1900"/>
            <w:tcMar>
              <w:top w:type="dxa" w:w="60"/>
              <w:left w:type="dxa" w:w="120"/>
              <w:bottom w:type="dxa" w:w="60"/>
              <w:right w:type="dxa" w:w="120"/>
            </w:tcMar>
          </w:tcPr>
          <w:p>
            <w:pPr>
              <w:spacing w:line="276"/>
            </w:pPr>
            <w:r>
              <w:rPr>
                <w:rFonts w:ascii="Times New Roman" w:hAnsi="Times New Roman"/>
                <w:color w:val="2B2320"/>
                <w:sz w:val="18"/>
                <w:szCs w:val="18"/>
              </w:rPr>
              <w:t xml:space="preserve">the compiler in the web lab</w:t>
            </w:r>
          </w:p>
        </w:tc>
      </w:tr>
      <w:tr>
        <w:trPr>
          <w:cantSplit/>
        </w:trPr>
        <w:tc>
          <w:tcPr>
            <w:tcW w:type="pct" w:w="1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zero reading</w:t>
            </w:r>
          </w:p>
        </w:tc>
        <w:tc>
          <w:tcPr>
            <w:tcW w:type="pct" w:w="1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E11, E16, E17</w:t>
            </w:r>
          </w:p>
        </w:tc>
        <w:tc>
          <w:tcPr>
            <w:tcW w:type="pct" w:w="19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V23 preview; the E17 tile</w:t>
            </w:r>
          </w:p>
        </w:tc>
      </w:tr>
      <w:tr>
        <w:trPr>
          <w:cantSplit/>
        </w:trPr>
        <w:tc>
          <w:tcPr>
            <w:tcW w:type="pct" w:w="1400"/>
            <w:tcMar>
              <w:top w:type="dxa" w:w="60"/>
              <w:left w:type="dxa" w:w="120"/>
              <w:bottom w:type="dxa" w:w="60"/>
              <w:right w:type="dxa" w:w="120"/>
            </w:tcMar>
          </w:tcPr>
          <w:p>
            <w:pPr>
              <w:spacing w:line="276"/>
            </w:pPr>
            <w:r>
              <w:rPr>
                <w:rFonts w:ascii="Times New Roman" w:hAnsi="Times New Roman"/>
                <w:color w:val="2B2320"/>
                <w:sz w:val="18"/>
                <w:szCs w:val="18"/>
              </w:rPr>
              <w:t xml:space="preserve">nonlocality</w:t>
            </w:r>
          </w:p>
        </w:tc>
        <w:tc>
          <w:tcPr>
            <w:tcW w:type="pct" w:w="1700"/>
            <w:tcMar>
              <w:top w:type="dxa" w:w="60"/>
              <w:left w:type="dxa" w:w="120"/>
              <w:bottom w:type="dxa" w:w="60"/>
              <w:right w:type="dxa" w:w="120"/>
            </w:tcMar>
          </w:tcPr>
          <w:p>
            <w:pPr>
              <w:spacing w:line="276"/>
            </w:pPr>
            <w:r>
              <w:rPr>
                <w:rFonts w:ascii="Times New Roman" w:hAnsi="Times New Roman"/>
                <w:color w:val="2B2320"/>
                <w:sz w:val="18"/>
                <w:szCs w:val="18"/>
              </w:rPr>
              <w:t xml:space="preserve">E12, E13, E14</w:t>
            </w:r>
          </w:p>
        </w:tc>
        <w:tc>
          <w:tcPr>
            <w:tcW w:type="pct" w:w="1900"/>
            <w:tcMar>
              <w:top w:type="dxa" w:w="60"/>
              <w:left w:type="dxa" w:w="120"/>
              <w:bottom w:type="dxa" w:w="60"/>
              <w:right w:type="dxa" w:w="120"/>
            </w:tcMar>
          </w:tcPr>
          <w:p>
            <w:pPr>
              <w:spacing w:line="276"/>
            </w:pPr>
            <w:r>
              <w:rPr>
                <w:rFonts w:ascii="Times New Roman" w:hAnsi="Times New Roman"/>
                <w:color w:val="2B2320"/>
                <w:sz w:val="18"/>
                <w:szCs w:val="18"/>
              </w:rPr>
              <w:t xml:space="preserve">the V24 preview</w:t>
            </w:r>
          </w:p>
        </w:tc>
      </w:tr>
      <w:tr>
        <w:trPr>
          <w:cantSplit/>
        </w:trPr>
        <w:tc>
          <w:tcPr>
            <w:tcW w:type="pct" w:w="1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infrastructure</w:t>
            </w:r>
          </w:p>
        </w:tc>
        <w:tc>
          <w:tcPr>
            <w:tcW w:type="pct" w:w="1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E01–E10</w:t>
            </w:r>
          </w:p>
        </w:tc>
        <w:tc>
          <w:tcPr>
            <w:tcW w:type="pct" w:w="19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experiment_01_15.md</w:t>
            </w:r>
          </w:p>
        </w:tc>
      </w:tr>
      <w:tr>
        <w:trPr>
          <w:cantSplit/>
        </w:trPr>
        <w:tc>
          <w:tcPr>
            <w:tcW w:type="pct" w:w="1400"/>
            <w:tcMar>
              <w:top w:type="dxa" w:w="60"/>
              <w:left w:type="dxa" w:w="120"/>
              <w:bottom w:type="dxa" w:w="60"/>
              <w:right w:type="dxa" w:w="120"/>
            </w:tcMar>
          </w:tcPr>
          <w:p>
            <w:pPr>
              <w:spacing w:line="276"/>
            </w:pPr>
            <w:r>
              <w:rPr>
                <w:rFonts w:ascii="Times New Roman" w:hAnsi="Times New Roman"/>
                <w:color w:val="2B2320"/>
                <w:sz w:val="18"/>
                <w:szCs w:val="18"/>
              </w:rPr>
              <w:t xml:space="preserve">volatility</w:t>
            </w:r>
          </w:p>
        </w:tc>
        <w:tc>
          <w:tcPr>
            <w:tcW w:type="pct" w:w="1700"/>
            <w:tcMar>
              <w:top w:type="dxa" w:w="60"/>
              <w:left w:type="dxa" w:w="120"/>
              <w:bottom w:type="dxa" w:w="60"/>
              <w:right w:type="dxa" w:w="120"/>
            </w:tcMar>
          </w:tcPr>
          <w:p>
            <w:pPr>
              <w:spacing w:line="276"/>
            </w:pPr>
            <w:r>
              <w:rPr>
                <w:rFonts w:ascii="Times New Roman" w:hAnsi="Times New Roman"/>
                <w:color w:val="2B2320"/>
                <w:sz w:val="18"/>
                <w:szCs w:val="18"/>
              </w:rPr>
              <w:t xml:space="preserve">ES1–ES5</w:t>
            </w:r>
          </w:p>
        </w:tc>
        <w:tc>
          <w:tcPr>
            <w:tcW w:type="pct" w:w="1900"/>
            <w:tcMar>
              <w:top w:type="dxa" w:w="60"/>
              <w:left w:type="dxa" w:w="120"/>
              <w:bottom w:type="dxa" w:w="60"/>
              <w:right w:type="dxa" w:w="120"/>
            </w:tcMar>
          </w:tcPr>
          <w:p>
            <w:pPr>
              <w:spacing w:line="276"/>
            </w:pPr>
            <w:r>
              <w:rPr>
                <w:rFonts w:ascii="Times New Roman" w:hAnsi="Times New Roman"/>
                <w:color w:val="2B2320"/>
                <w:sz w:val="18"/>
                <w:szCs w:val="18"/>
              </w:rPr>
              <w:t xml:space="preserve">TS1–TS3</w:t>
            </w:r>
          </w:p>
        </w:tc>
      </w:tr>
      <w:tr>
        <w:trPr>
          <w:cantSplit/>
        </w:trPr>
        <w:tc>
          <w:tcPr>
            <w:tcW w:type="pct" w:w="1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formal layer</w:t>
            </w:r>
          </w:p>
        </w:tc>
        <w:tc>
          <w:tcPr>
            <w:tcW w:type="pct" w:w="1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A1–A6</w:t>
            </w:r>
          </w:p>
        </w:tc>
        <w:tc>
          <w:tcPr>
            <w:tcW w:type="pct" w:w="19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formal/ (Lean/Coq/Agda/Isabelle)</w:t>
            </w:r>
          </w:p>
        </w:tc>
      </w:tr>
      <w:tr>
        <w:trPr>
          <w:cantSplit/>
        </w:trPr>
        <w:tc>
          <w:tcPr>
            <w:tcW w:type="pct" w:w="1400"/>
            <w:tcMar>
              <w:top w:type="dxa" w:w="60"/>
              <w:left w:type="dxa" w:w="120"/>
              <w:bottom w:type="dxa" w:w="60"/>
              <w:right w:type="dxa" w:w="120"/>
            </w:tcMar>
          </w:tcPr>
          <w:p>
            <w:pPr>
              <w:spacing w:line="276"/>
            </w:pPr>
            <w:r>
              <w:rPr>
                <w:rFonts w:ascii="Times New Roman" w:hAnsi="Times New Roman"/>
                <w:color w:val="2B2320"/>
                <w:sz w:val="18"/>
                <w:szCs w:val="18"/>
              </w:rPr>
              <w:t xml:space="preserve">data and visualization</w:t>
            </w:r>
          </w:p>
        </w:tc>
        <w:tc>
          <w:tcPr>
            <w:tcW w:type="pct" w:w="1700"/>
            <w:tcMar>
              <w:top w:type="dxa" w:w="60"/>
              <w:left w:type="dxa" w:w="120"/>
              <w:bottom w:type="dxa" w:w="60"/>
              <w:right w:type="dxa" w:w="120"/>
            </w:tcMar>
          </w:tcPr>
          <w:p>
            <w:pPr>
              <w:spacing w:line="276"/>
            </w:pPr>
            <w:r>
              <w:rPr>
                <w:rFonts w:ascii="Times New Roman" w:hAnsi="Times New Roman"/>
                <w:color w:val="2B2320"/>
                <w:sz w:val="18"/>
                <w:szCs w:val="18"/>
              </w:rPr>
              <w:t xml:space="preserve">make_datasets/atlas/timeline</w:t>
            </w:r>
          </w:p>
        </w:tc>
        <w:tc>
          <w:tcPr>
            <w:tcW w:type="pct" w:w="1900"/>
            <w:tcMar>
              <w:top w:type="dxa" w:w="60"/>
              <w:left w:type="dxa" w:w="120"/>
              <w:bottom w:type="dxa" w:w="60"/>
              <w:right w:type="dxa" w:w="120"/>
            </w:tcMar>
          </w:tcPr>
          <w:p>
            <w:pPr>
              <w:spacing w:line="276"/>
            </w:pPr>
            <w:r>
              <w:rPr>
                <w:rFonts w:ascii="Times New Roman" w:hAnsi="Times New Roman"/>
                <w:color w:val="2B2320"/>
                <w:sz w:val="18"/>
                <w:szCs w:val="18"/>
              </w:rPr>
              <w:t xml:space="preserve">tiles, atlas, timeline</w:t>
            </w:r>
          </w:p>
        </w:tc>
      </w:tr>
    </w:tbl>
    <w:p>
      <w:pPr>
        <w:spacing w:after="120"/>
      </w:pPr>
    </w:p>
    <w:p>
      <w:pPr>
        <w:spacing w:after="120" w:line="312"/>
        <w:jc w:val="both"/>
      </w:pPr>
      <w:r>
        <w:rPr>
          <w:rFonts w:ascii="Times New Roman" w:hAnsi="Times New Roman"/>
          <w:color w:val="2B2320"/>
          <w:sz w:val="22"/>
          <w:szCs w:val="22"/>
        </w:rPr>
        <w:t xml:space="preserve">The index is deliberately compact: every route is two or three clicks away. For the "reverse" navigation (artifact → topic) use the file map (appendix E) and the package inventory (appendix J).</w:t>
      </w:r>
    </w:p>
    <w:p>
      <w:pPr>
        <w:pStyle w:val="Heading1"/>
        <w:spacing w:after="160" w:before="360" w:line="312"/>
      </w:pPr>
      <w:bookmarkStart w:name="_Toc188" w:id="188"/>
      <w:r>
        <w:rPr>
          <w:rFonts w:ascii="Times New Roman" w:hAnsi="Times New Roman"/>
          <w:b/>
          <w:bCs/>
          <w:color w:val="2B2320"/>
          <w:sz w:val="32"/>
          <w:szCs w:val="32"/>
        </w:rPr>
        <w:t xml:space="preserve">Chapter 41. The Tile Gallery</w:t>
      </w:r>
      <w:bookmarkEnd w:id="188"/>
    </w:p>
    <w:p>
      <w:pPr>
        <w:spacing w:after="160" w:line="312"/>
        <w:jc w:val="both"/>
      </w:pPr>
      <w:r>
        <w:rPr>
          <w:rFonts w:ascii="Times New Roman" w:hAnsi="Times New Roman"/>
          <w:color w:val="7A5C48"/>
          <w:sz w:val="23"/>
          <w:szCs w:val="23"/>
        </w:rPr>
        <w:t xml:space="preserve">The full gallery of the core four-dimension tiles (EN versions; RU — in figures_tiled/ru/). Each tile is built from a verdict and carries four dimensions: the metric, the instances, the control and the threshold.</w:t>
      </w:r>
    </w:p>
    <w:p>
      <w:pPr>
        <w:spacing w:after="60" w:before="160"/>
        <w:jc w:val="center"/>
      </w:pPr>
      <w:r>
        <w:drawing>
          <wp:inline distT="0" distB="0" distL="0" distR="0">
            <wp:extent cx="0" cy="3810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0" cy="3810000"/>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41.1. The Th2 tile: self-adjointness and unitary dynamics (600 dpi).</w:t>
      </w:r>
    </w:p>
    <w:p>
      <w:pPr>
        <w:spacing w:after="60" w:before="160"/>
        <w:jc w:val="center"/>
      </w:pPr>
      <w:r>
        <w:drawing>
          <wp:inline distT="0" distB="0" distL="0" distR="0">
            <wp:extent cx="0" cy="3810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0" cy="3810000"/>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41.2. The Th3 tile: Kato certificates (600 dpi).</w:t>
      </w:r>
    </w:p>
    <w:p>
      <w:pPr>
        <w:spacing w:after="60" w:before="160"/>
        <w:jc w:val="center"/>
      </w:pPr>
      <w:r>
        <w:drawing>
          <wp:inline distT="0" distB="0" distL="0" distR="0">
            <wp:extent cx="0" cy="3810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0" cy="3810000"/>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41.3. The Th5 tile: block reduction (600 dpi).</w:t>
      </w:r>
    </w:p>
    <w:p>
      <w:pPr>
        <w:spacing w:after="60" w:before="160"/>
        <w:jc w:val="center"/>
      </w:pPr>
      <w:r>
        <w:drawing>
          <wp:inline distT="0" distB="0" distL="0" distR="0">
            <wp:extent cx="0" cy="3810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0" cy="3810000"/>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41.4. The core infographic: the spectral level map (dark theme, 600 dpi).</w:t>
      </w:r>
    </w:p>
    <w:p>
      <w:pPr>
        <w:spacing w:after="60" w:before="160"/>
        <w:jc w:val="center"/>
      </w:pPr>
      <w:r>
        <w:drawing>
          <wp:inline distT="0" distB="0" distL="0" distR="0">
            <wp:extent cx="0" cy="3810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0" cy="3810000"/>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41.5. The core scorecard: the key level certificates (600 dpi).</w:t>
      </w:r>
    </w:p>
    <w:p>
      <w:pPr>
        <w:spacing w:after="60" w:before="160"/>
        <w:jc w:val="center"/>
      </w:pPr>
      <w:r>
        <w:drawing>
          <wp:inline distT="0" distB="0" distL="0" distR="0">
            <wp:extent cx="0" cy="38100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0" cy="3810000"/>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41.6. The TS1 tile: closure of phase cycles (600 dpi).</w:t>
      </w:r>
    </w:p>
    <w:p>
      <w:pPr>
        <w:spacing w:after="60" w:before="160"/>
        <w:jc w:val="center"/>
      </w:pPr>
      <w:r>
        <w:drawing>
          <wp:inline distT="0" distB="0" distL="0" distR="0">
            <wp:extent cx="0" cy="38100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0" cy="3810000"/>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41.7. The TS2 tile: reset irreversibility (600 dpi).</w:t>
      </w:r>
    </w:p>
    <w:p>
      <w:pPr>
        <w:spacing w:after="60" w:before="160"/>
        <w:jc w:val="center"/>
      </w:pPr>
      <w:r>
        <w:drawing>
          <wp:inline distT="0" distB="0" distL="0" distR="0">
            <wp:extent cx="0" cy="38100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0" cy="3810000"/>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41.8. The processor: compilation profiles (600 dpi).</w:t>
      </w:r>
    </w:p>
    <w:p>
      <w:pPr>
        <w:spacing w:after="60" w:before="160"/>
        <w:jc w:val="center"/>
      </w:pPr>
      <w:r>
        <w:drawing>
          <wp:inline distT="0" distB="0" distL="0" distR="0">
            <wp:extent cx="0" cy="38100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0" cy="3810000"/>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41.9. Verification: the step cost (600 dpi).</w:t>
      </w:r>
    </w:p>
    <w:p>
      <w:pPr>
        <w:pStyle w:val="Heading1"/>
        <w:spacing w:after="160" w:before="360" w:line="312"/>
      </w:pPr>
      <w:bookmarkStart w:name="_Toc189" w:id="189"/>
      <w:r>
        <w:rPr>
          <w:rFonts w:ascii="Times New Roman" w:hAnsi="Times New Roman"/>
          <w:b/>
          <w:bCs/>
          <w:color w:val="2B2320"/>
          <w:sz w:val="32"/>
          <w:szCs w:val="32"/>
        </w:rPr>
        <w:t xml:space="preserve">Chapter 42. The Limits of the Method: What the Program Cannot Do</w:t>
      </w:r>
      <w:bookmarkEnd w:id="189"/>
    </w:p>
    <w:p>
      <w:pPr>
        <w:spacing w:after="160" w:line="312"/>
        <w:jc w:val="both"/>
      </w:pPr>
      <w:r>
        <w:rPr>
          <w:rFonts w:ascii="Times New Roman" w:hAnsi="Times New Roman"/>
          <w:color w:val="7A5C48"/>
          <w:sz w:val="23"/>
          <w:szCs w:val="23"/>
        </w:rPr>
        <w:t xml:space="preserve">An honest monograph must describe not only achievements but the limits of the method. This chapter systematizes the limitations — fundamental, technical and disciplinary — and explains which are surmountable and by which routes.</w:t>
      </w:r>
    </w:p>
    <w:p>
      <w:pPr>
        <w:pStyle w:val="Heading2"/>
        <w:spacing w:after="120" w:before="280" w:line="312"/>
      </w:pPr>
      <w:bookmarkStart w:name="_Toc190" w:id="190"/>
      <w:r>
        <w:rPr>
          <w:rFonts w:ascii="Times New Roman" w:hAnsi="Times New Roman"/>
          <w:b/>
          <w:bCs/>
          <w:color w:val="7A5C48"/>
          <w:sz w:val="26"/>
          <w:szCs w:val="26"/>
        </w:rPr>
        <w:t xml:space="preserve">42.1. Fundamental limitations</w:t>
      </w:r>
      <w:bookmarkEnd w:id="190"/>
    </w:p>
    <w:p>
      <w:pPr>
        <w:spacing w:after="60" w:line="312"/>
        <w:ind w:left="360" w:hanging="240"/>
        <w:jc w:val="left"/>
      </w:pPr>
      <w:r>
        <w:rPr>
          <w:rFonts w:ascii="Times New Roman" w:hAnsi="Times New Roman"/>
          <w:color w:val="2B2320"/>
          <w:sz w:val="22"/>
          <w:szCs w:val="22"/>
        </w:rPr>
        <w:t xml:space="preserve">•  </w:t>
      </w:r>
      <w:r>
        <w:rPr>
          <w:rFonts w:ascii="Times New Roman" w:hAnsi="Times New Roman"/>
          <w:b/>
          <w:bCs/>
          <w:color w:val="2B2320"/>
          <w:sz w:val="22"/>
          <w:szCs w:val="22"/>
        </w:rPr>
        <w:t xml:space="preserve">RH is not proved and will not be proved numerically.</w:t>
      </w:r>
      <w:r>
        <w:rPr>
          <w:rFonts w:ascii="Times New Roman" w:hAnsi="Times New Roman"/>
          <w:color w:val="2B2320"/>
          <w:sz w:val="22"/>
          <w:szCs w:val="22"/>
        </w:rPr>
        <w:t xml:space="preserve"> Neither the volume of data, nor the accuracy, nor the beauty of the agreement substitutes the analytic proof of the four hypotheses of the V13 machine. This is not a failure of the method but its definition.</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b/>
          <w:bCs/>
          <w:color w:val="2B2320"/>
          <w:sz w:val="22"/>
          <w:szCs w:val="22"/>
        </w:rPr>
        <w:t xml:space="preserve">Statistics ≠ arithmetic.</w:t>
      </w:r>
      <w:r>
        <w:rPr>
          <w:rFonts w:ascii="Times New Roman" w:hAnsi="Times New Roman"/>
          <w:color w:val="2B2320"/>
          <w:sz w:val="22"/>
          <w:szCs w:val="22"/>
        </w:rPr>
        <w:t xml:space="preserve"> Any GUE agreement is reproducible by random models; the specificity lives in the fine structure (the trace, the constants), and its measurement is the only honest path.</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b/>
          <w:bCs/>
          <w:color w:val="2B2320"/>
          <w:sz w:val="22"/>
          <w:szCs w:val="22"/>
        </w:rPr>
        <w:t xml:space="preserve">The Markov class of tasks.</w:t>
      </w:r>
      <w:r>
        <w:rPr>
          <w:rFonts w:ascii="Times New Roman" w:hAnsi="Times New Roman"/>
          <w:color w:val="2B2320"/>
          <w:sz w:val="22"/>
          <w:szCs w:val="22"/>
        </w:rPr>
        <w:t xml:space="preserve"> The memoryless machine solves tasks admitting a Markov policy; tasks with substantial history require memory — and then the architecture applies other levels, not the spinor models.</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b/>
          <w:bCs/>
          <w:color w:val="2B2320"/>
          <w:sz w:val="22"/>
          <w:szCs w:val="22"/>
        </w:rPr>
        <w:t xml:space="preserve">The human factor of protocols.</w:t>
      </w:r>
      <w:r>
        <w:rPr>
          <w:rFonts w:ascii="Times New Roman" w:hAnsi="Times New Roman"/>
          <w:color w:val="2B2320"/>
          <w:sz w:val="22"/>
          <w:szCs w:val="22"/>
        </w:rPr>
        <w:t xml:space="preserve"> Blindness protects against leaks, not against an error in the protocol itself; the γ₁₂ erratum showed that the framework must be checked too.</w:t>
      </w:r>
    </w:p>
    <w:p>
      <w:pPr>
        <w:pStyle w:val="Heading2"/>
        <w:spacing w:after="120" w:before="280" w:line="312"/>
      </w:pPr>
      <w:bookmarkStart w:name="_Toc191" w:id="191"/>
      <w:r>
        <w:rPr>
          <w:rFonts w:ascii="Times New Roman" w:hAnsi="Times New Roman"/>
          <w:b/>
          <w:bCs/>
          <w:color w:val="7A5C48"/>
          <w:sz w:val="26"/>
          <w:szCs w:val="26"/>
        </w:rPr>
        <w:t xml:space="preserve">42.2. Technical limitations</w:t>
      </w:r>
      <w:bookmarkEnd w:id="191"/>
    </w:p>
    <w:p>
      <w:pPr>
        <w:spacing w:after="60" w:line="312"/>
        <w:ind w:left="360" w:hanging="240"/>
        <w:jc w:val="left"/>
      </w:pPr>
      <w:r>
        <w:rPr>
          <w:rFonts w:ascii="Times New Roman" w:hAnsi="Times New Roman"/>
          <w:color w:val="2B2320"/>
          <w:sz w:val="22"/>
          <w:szCs w:val="22"/>
        </w:rPr>
        <w:t xml:space="preserve">•  </w:t>
      </w:r>
      <w:r>
        <w:rPr>
          <w:rFonts w:ascii="Times New Roman" w:hAnsi="Times New Roman"/>
          <w:b/>
          <w:bCs/>
          <w:color w:val="2B2320"/>
          <w:sz w:val="22"/>
          <w:szCs w:val="22"/>
        </w:rPr>
        <w:t xml:space="preserve">Heights T.</w:t>
      </w:r>
      <w:r>
        <w:rPr>
          <w:rFonts w:ascii="Times New Roman" w:hAnsi="Times New Roman"/>
          <w:color w:val="2B2320"/>
          <w:sz w:val="22"/>
          <w:szCs w:val="22"/>
        </w:rPr>
        <w:t xml:space="preserve"> The flagships reach T = 1000; T ≫ 1000 is the O-J5 target, requiring a new computational wave.</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b/>
          <w:bCs/>
          <w:color w:val="2B2320"/>
          <w:sz w:val="22"/>
          <w:szCs w:val="22"/>
        </w:rPr>
        <w:t xml:space="preserve">Compilation sizes.</w:t>
      </w:r>
      <w:r>
        <w:rPr>
          <w:rFonts w:ascii="Times New Roman" w:hAnsi="Times New Roman"/>
          <w:color w:val="2B2320"/>
          <w:sz w:val="22"/>
          <w:szCs w:val="22"/>
        </w:rPr>
        <w:t xml:space="preserve"> V20 is certified for 4×4 and 8×8; larger sizes are a matter of arithmetic and depth, fixed in the roadmap.</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b/>
          <w:bCs/>
          <w:color w:val="2B2320"/>
          <w:sz w:val="22"/>
          <w:szCs w:val="22"/>
        </w:rPr>
        <w:t xml:space="preserve">The ISA class.</w:t>
      </w:r>
      <w:r>
        <w:rPr>
          <w:rFonts w:ascii="Times New Roman" w:hAnsi="Times New Roman"/>
          <w:color w:val="2B2320"/>
          <w:sz w:val="22"/>
          <w:szCs w:val="22"/>
        </w:rPr>
        <w:t xml:space="preserve"> The KAK optimum is unreachable in the class; extending the class is a separate decision with its own verdicts.</w:t>
      </w:r>
    </w:p>
    <w:p>
      <w:pPr>
        <w:spacing w:after="60" w:line="312"/>
        <w:ind w:left="360" w:hanging="240"/>
        <w:jc w:val="left"/>
      </w:pPr>
      <w:r>
        <w:rPr>
          <w:rFonts w:ascii="Times New Roman" w:hAnsi="Times New Roman"/>
          <w:color w:val="2B2320"/>
          <w:sz w:val="22"/>
          <w:szCs w:val="22"/>
        </w:rPr>
        <w:t xml:space="preserve">•  </w:t>
      </w:r>
      <w:r>
        <w:rPr>
          <w:rFonts w:ascii="Times New Roman" w:hAnsi="Times New Roman"/>
          <w:b/>
          <w:bCs/>
          <w:color w:val="2B2320"/>
          <w:sz w:val="22"/>
          <w:szCs w:val="22"/>
        </w:rPr>
        <w:t xml:space="preserve">The idealization of reset.</w:t>
      </w:r>
      <w:r>
        <w:rPr>
          <w:rFonts w:ascii="Times New Roman" w:hAnsi="Times New Roman"/>
          <w:color w:val="2B2320"/>
          <w:sz w:val="22"/>
          <w:szCs w:val="22"/>
        </w:rPr>
        <w:t xml:space="preserve"> TS2 speaks of an ideal reset; real channels add a contribution measured by ES5.</w:t>
      </w:r>
    </w:p>
    <w:p>
      <w:pPr>
        <w:pStyle w:val="Heading2"/>
        <w:spacing w:after="120" w:before="280" w:line="312"/>
      </w:pPr>
      <w:bookmarkStart w:name="_Toc192" w:id="192"/>
      <w:r>
        <w:rPr>
          <w:rFonts w:ascii="Times New Roman" w:hAnsi="Times New Roman"/>
          <w:b/>
          <w:bCs/>
          <w:color w:val="7A5C48"/>
          <w:sz w:val="26"/>
          <w:szCs w:val="26"/>
        </w:rPr>
        <w:t xml:space="preserve">42.3. Disciplinary limitations</w:t>
      </w:r>
      <w:bookmarkEnd w:id="192"/>
    </w:p>
    <w:p>
      <w:pPr>
        <w:spacing w:after="120" w:line="312"/>
        <w:jc w:val="both"/>
      </w:pPr>
      <w:r>
        <w:rPr>
          <w:rFonts w:ascii="Times New Roman" w:hAnsi="Times New Roman"/>
          <w:color w:val="2B2320"/>
          <w:sz w:val="22"/>
          <w:szCs w:val="22"/>
        </w:rPr>
        <w:t xml:space="preserve">The program deliberately pays for honesty with speed: pre-registration is slower than "free search", blind protocols are more expensive than direct comparisons, statuses require formalization. This is a price the program considers justified: a result obtained without these constraints would have to be re-verified in full. The limits of the method are not a flaw of the program but its interface: they tell a partner which obligations can be relied upon.</w:t>
      </w:r>
    </w:p>
    <w:p>
      <w:pPr>
        <w:keepNext/>
        <w:spacing w:after="80" w:before="160"/>
        <w:jc w:val="center"/>
      </w:pPr>
      <w:r>
        <w:rPr>
          <w:rFonts w:ascii="Times New Roman" w:hAnsi="Times New Roman"/>
          <w:b/>
          <w:bCs/>
          <w:color w:val="7A5C48"/>
          <w:sz w:val="19"/>
          <w:szCs w:val="19"/>
        </w:rPr>
        <w:t xml:space="preserve">Table 42.1. Limitations and routes past them</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2708"/>
        <w:gridCol w:w="1625"/>
        <w:gridCol w:w="4694"/>
      </w:tblGrid>
      <w:tr>
        <w:trPr>
          <w:cantSplit/>
          <w:tblHeader/>
        </w:trPr>
        <w:tc>
          <w:tcPr>
            <w:tcW w:type="pct" w:w="15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Limitation</w:t>
            </w:r>
          </w:p>
        </w:tc>
        <w:tc>
          <w:tcPr>
            <w:tcW w:type="pct" w:w="9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Type</w:t>
            </w:r>
          </w:p>
        </w:tc>
        <w:tc>
          <w:tcPr>
            <w:tcW w:type="pct" w:w="26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Route</w:t>
            </w:r>
          </w:p>
        </w:tc>
      </w:tr>
      <w:tr>
        <w:trPr>
          <w:cantSplit/>
        </w:trPr>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RH blocked</w:t>
            </w:r>
          </w:p>
        </w:tc>
        <w:tc>
          <w:tcPr>
            <w:tcW w:type="pct" w:w="900"/>
            <w:tcMar>
              <w:top w:type="dxa" w:w="60"/>
              <w:left w:type="dxa" w:w="120"/>
              <w:bottom w:type="dxa" w:w="60"/>
              <w:right w:type="dxa" w:w="120"/>
            </w:tcMar>
          </w:tcPr>
          <w:p>
            <w:pPr>
              <w:spacing w:line="276"/>
            </w:pPr>
            <w:r>
              <w:rPr>
                <w:rFonts w:ascii="Times New Roman" w:hAnsi="Times New Roman"/>
                <w:color w:val="2B2320"/>
                <w:sz w:val="18"/>
                <w:szCs w:val="18"/>
              </w:rPr>
              <w:t xml:space="preserve">fundamental</w:t>
            </w:r>
          </w:p>
        </w:tc>
        <w:tc>
          <w:tcPr>
            <w:tcW w:type="pct" w:w="2600"/>
            <w:tcMar>
              <w:top w:type="dxa" w:w="60"/>
              <w:left w:type="dxa" w:w="120"/>
              <w:bottom w:type="dxa" w:w="60"/>
              <w:right w:type="dxa" w:w="120"/>
            </w:tcMar>
          </w:tcPr>
          <w:p>
            <w:pPr>
              <w:spacing w:line="276"/>
            </w:pPr>
            <w:r>
              <w:rPr>
                <w:rFonts w:ascii="Times New Roman" w:hAnsi="Times New Roman"/>
                <w:color w:val="2B2320"/>
                <w:sz w:val="18"/>
                <w:szCs w:val="18"/>
              </w:rPr>
              <w:t xml:space="preserve">analytic proofs of O08/O09/O11/O12</w:t>
            </w:r>
          </w:p>
        </w:tc>
      </w:tr>
      <w:tr>
        <w:trPr>
          <w:cantSplit/>
        </w:trPr>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GUE insufficiency</w:t>
            </w:r>
          </w:p>
        </w:tc>
        <w:tc>
          <w:tcPr>
            <w:tcW w:type="pct" w:w="9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fundamental</w:t>
            </w:r>
          </w:p>
        </w:tc>
        <w:tc>
          <w:tcPr>
            <w:tcW w:type="pct" w:w="2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fine structure: trace, constants, behaviour</w:t>
            </w:r>
          </w:p>
        </w:tc>
      </w:tr>
      <w:tr>
        <w:trPr>
          <w:cantSplit/>
        </w:trPr>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T = 1000</w:t>
            </w:r>
          </w:p>
        </w:tc>
        <w:tc>
          <w:tcPr>
            <w:tcW w:type="pct" w:w="900"/>
            <w:tcMar>
              <w:top w:type="dxa" w:w="60"/>
              <w:left w:type="dxa" w:w="120"/>
              <w:bottom w:type="dxa" w:w="60"/>
              <w:right w:type="dxa" w:w="120"/>
            </w:tcMar>
          </w:tcPr>
          <w:p>
            <w:pPr>
              <w:spacing w:line="276"/>
            </w:pPr>
            <w:r>
              <w:rPr>
                <w:rFonts w:ascii="Times New Roman" w:hAnsi="Times New Roman"/>
                <w:color w:val="2B2320"/>
                <w:sz w:val="18"/>
                <w:szCs w:val="18"/>
              </w:rPr>
              <w:t xml:space="preserve">technical</w:t>
            </w:r>
          </w:p>
        </w:tc>
        <w:tc>
          <w:tcPr>
            <w:tcW w:type="pct" w:w="2600"/>
            <w:tcMar>
              <w:top w:type="dxa" w:w="60"/>
              <w:left w:type="dxa" w:w="120"/>
              <w:bottom w:type="dxa" w:w="60"/>
              <w:right w:type="dxa" w:w="120"/>
            </w:tcMar>
          </w:tcPr>
          <w:p>
            <w:pPr>
              <w:spacing w:line="276"/>
            </w:pPr>
            <w:r>
              <w:rPr>
                <w:rFonts w:ascii="Times New Roman" w:hAnsi="Times New Roman"/>
                <w:color w:val="2B2320"/>
                <w:sz w:val="18"/>
                <w:szCs w:val="18"/>
              </w:rPr>
              <w:t xml:space="preserve">O-J5: a new computational wave</w:t>
            </w:r>
          </w:p>
        </w:tc>
      </w:tr>
      <w:tr>
        <w:trPr>
          <w:cantSplit/>
        </w:trPr>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4×4/8×8</w:t>
            </w:r>
          </w:p>
        </w:tc>
        <w:tc>
          <w:tcPr>
            <w:tcW w:type="pct" w:w="9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technical</w:t>
            </w:r>
          </w:p>
        </w:tc>
        <w:tc>
          <w:tcPr>
            <w:tcW w:type="pct" w:w="2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extending the arithmetic and depth (P5)</w:t>
            </w:r>
          </w:p>
        </w:tc>
      </w:tr>
      <w:tr>
        <w:trPr>
          <w:cantSplit/>
        </w:trPr>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KAK outside the class</w:t>
            </w:r>
          </w:p>
        </w:tc>
        <w:tc>
          <w:tcPr>
            <w:tcW w:type="pct" w:w="900"/>
            <w:tcMar>
              <w:top w:type="dxa" w:w="60"/>
              <w:left w:type="dxa" w:w="120"/>
              <w:bottom w:type="dxa" w:w="60"/>
              <w:right w:type="dxa" w:w="120"/>
            </w:tcMar>
          </w:tcPr>
          <w:p>
            <w:pPr>
              <w:spacing w:line="276"/>
            </w:pPr>
            <w:r>
              <w:rPr>
                <w:rFonts w:ascii="Times New Roman" w:hAnsi="Times New Roman"/>
                <w:color w:val="2B2320"/>
                <w:sz w:val="18"/>
                <w:szCs w:val="18"/>
              </w:rPr>
              <w:t xml:space="preserve">class-level</w:t>
            </w:r>
          </w:p>
        </w:tc>
        <w:tc>
          <w:tcPr>
            <w:tcW w:type="pct" w:w="2600"/>
            <w:tcMar>
              <w:top w:type="dxa" w:w="60"/>
              <w:left w:type="dxa" w:w="120"/>
              <w:bottom w:type="dxa" w:w="60"/>
              <w:right w:type="dxa" w:w="120"/>
            </w:tcMar>
          </w:tcPr>
          <w:p>
            <w:pPr>
              <w:spacing w:line="276"/>
            </w:pPr>
            <w:r>
              <w:rPr>
                <w:rFonts w:ascii="Times New Roman" w:hAnsi="Times New Roman"/>
                <w:color w:val="2B2320"/>
                <w:sz w:val="18"/>
                <w:szCs w:val="18"/>
              </w:rPr>
              <w:t xml:space="preserve">extending the ISA with new verdicts</w:t>
            </w:r>
          </w:p>
        </w:tc>
      </w:tr>
      <w:tr>
        <w:trPr>
          <w:cantSplit/>
        </w:trPr>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ideal reset</w:t>
            </w:r>
          </w:p>
        </w:tc>
        <w:tc>
          <w:tcPr>
            <w:tcW w:type="pct" w:w="9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model-level</w:t>
            </w:r>
          </w:p>
        </w:tc>
        <w:tc>
          <w:tcPr>
            <w:tcW w:type="pct" w:w="2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ES5: measuring real channels</w:t>
            </w:r>
          </w:p>
        </w:tc>
      </w:tr>
    </w:tbl>
    <w:p>
      <w:pPr>
        <w:spacing w:after="120"/>
      </w:pPr>
    </w:p>
    <w:p>
      <w:pPr>
        <w:pStyle w:val="Heading1"/>
        <w:spacing w:after="160" w:before="360" w:line="312"/>
      </w:pPr>
      <w:bookmarkStart w:name="_Toc193" w:id="193"/>
      <w:r>
        <w:rPr>
          <w:rFonts w:ascii="Times New Roman" w:hAnsi="Times New Roman"/>
          <w:b/>
          <w:bCs/>
          <w:color w:val="2B2320"/>
          <w:sz w:val="32"/>
          <w:szCs w:val="32"/>
        </w:rPr>
        <w:t xml:space="preserve">Chapter 43. The Level Figures Gallery</w:t>
      </w:r>
      <w:bookmarkEnd w:id="193"/>
    </w:p>
    <w:p>
      <w:pPr>
        <w:spacing w:after="160" w:line="312"/>
        <w:jc w:val="both"/>
      </w:pPr>
      <w:r>
        <w:rPr>
          <w:rFonts w:ascii="Times New Roman" w:hAnsi="Times New Roman"/>
          <w:color w:val="7A5C48"/>
          <w:sz w:val="23"/>
          <w:szCs w:val="23"/>
        </w:rPr>
        <w:t xml:space="preserve">Selected figures of the core, processor and verification levels (EN versions, 600 dpi; RU — in figures_hires/ru/). All figures are built from committed verdicts.</w:t>
      </w:r>
    </w:p>
    <w:p>
      <w:pPr>
        <w:spacing w:after="60" w:before="160"/>
        <w:jc w:val="center"/>
      </w:pPr>
      <w:r>
        <w:drawing>
          <wp:inline distT="0" distB="0" distL="0" distR="0">
            <wp:extent cx="0" cy="3810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0" cy="3810000"/>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43.1. The TS3 tile: O(1) steps against the Ω(t) log (600 dpi).</w:t>
      </w:r>
    </w:p>
    <w:p>
      <w:pPr>
        <w:spacing w:after="60" w:before="160"/>
        <w:jc w:val="center"/>
      </w:pPr>
      <w:r>
        <w:drawing>
          <wp:inline distT="0" distB="0" distL="0" distR="0">
            <wp:extent cx="0" cy="38100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0" cy="3810000"/>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43.2. The processor: compilation accuracy by target (600 dpi).</w:t>
      </w:r>
    </w:p>
    <w:p>
      <w:pPr>
        <w:spacing w:after="60" w:before="160"/>
        <w:jc w:val="center"/>
      </w:pPr>
      <w:r>
        <w:drawing>
          <wp:inline distT="0" distB="0" distL="0" distR="0">
            <wp:extent cx="0" cy="38100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0" cy="3810000"/>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43.3. The processor: gate depths (600 dpi).</w:t>
      </w:r>
    </w:p>
    <w:p>
      <w:pPr>
        <w:spacing w:after="60" w:before="160"/>
        <w:jc w:val="center"/>
      </w:pPr>
      <w:r>
        <w:drawing>
          <wp:inline distT="0" distB="0" distL="0" distR="0">
            <wp:extent cx="0" cy="38100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0" cy="3810000"/>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43.4. Verification: phase noise (600 dpi).</w:t>
      </w:r>
    </w:p>
    <w:p>
      <w:pPr>
        <w:spacing w:after="60" w:before="160"/>
        <w:jc w:val="center"/>
      </w:pPr>
      <w:r>
        <w:drawing>
          <wp:inline distT="0" distB="0" distL="0" distR="0">
            <wp:extent cx="0" cy="38100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0" cy="3810000"/>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43.5. Verification: the repetition code (600 dpi).</w:t>
      </w:r>
    </w:p>
    <w:p>
      <w:pPr>
        <w:spacing w:after="60" w:before="160"/>
        <w:jc w:val="center"/>
      </w:pPr>
      <w:r>
        <w:drawing>
          <wp:inline distT="0" distB="0" distL="0" distR="0">
            <wp:extent cx="0" cy="38100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0" cy="3810000"/>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43.6. Verification: phase readout (600 dpi).</w:t>
      </w:r>
    </w:p>
    <w:p>
      <w:pPr>
        <w:spacing w:after="60" w:before="160"/>
        <w:jc w:val="center"/>
      </w:pPr>
      <w:r>
        <w:drawing>
          <wp:inline distT="0" distB="0" distL="0" distR="0">
            <wp:extent cx="0" cy="38100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0" cy="3810000"/>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43.7. Verification: interferometry (600 dpi).</w:t>
      </w:r>
    </w:p>
    <w:p>
      <w:pPr>
        <w:spacing w:after="60" w:before="160"/>
        <w:jc w:val="center"/>
      </w:pPr>
      <w:r>
        <w:drawing>
          <wp:inline distT="0" distB="0" distL="0" distR="0">
            <wp:extent cx="0" cy="381000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0" cy="3810000"/>
                    </a:xfrm>
                    <a:prstGeom prst="rect">
                      <a:avLst/>
                    </a:prstGeom>
                  </pic:spPr>
                </pic:pic>
              </a:graphicData>
            </a:graphic>
          </wp:inline>
        </w:drawing>
      </w:r>
    </w:p>
    <w:p>
      <w:pPr>
        <w:spacing w:after="160"/>
        <w:jc w:val="center"/>
      </w:pPr>
      <w:r>
        <w:rPr>
          <w:rFonts w:ascii="Times New Roman" w:hAnsi="Times New Roman"/>
          <w:color w:val="8A8078"/>
          <w:sz w:val="17"/>
          <w:szCs w:val="17"/>
        </w:rPr>
        <w:t xml:space="preserve">Figure 43.8. Verification: CHSH (600 dpi).</w:t>
      </w:r>
    </w:p>
    <w:p>
      <w:pPr>
        <w:pStyle w:val="Heading1"/>
        <w:spacing w:after="160" w:before="360" w:line="312"/>
      </w:pPr>
      <w:bookmarkStart w:name="_Toc194" w:id="194"/>
      <w:r>
        <w:rPr>
          <w:rFonts w:ascii="Times New Roman" w:hAnsi="Times New Roman"/>
          <w:b/>
          <w:bCs/>
          <w:color w:val="2B2320"/>
          <w:sz w:val="32"/>
          <w:szCs w:val="32"/>
        </w:rPr>
        <w:t xml:space="preserve">Part VII. Level Research Programs</w:t>
      </w:r>
      <w:bookmarkEnd w:id="194"/>
    </w:p>
    <w:p>
      <w:pPr>
        <w:spacing w:after="160" w:line="312"/>
        <w:jc w:val="both"/>
      </w:pPr>
      <w:r>
        <w:rPr>
          <w:rFonts w:ascii="Times New Roman" w:hAnsi="Times New Roman"/>
          <w:color w:val="7A5C48"/>
          <w:sz w:val="23"/>
          <w:szCs w:val="23"/>
        </w:rPr>
        <w:t xml:space="preserve">The full texts of the four level research programs — the core, the processor, verification and the spinor study. Each program is also published as a separate monograph (MONOGRAPH_ARCHIVE/research_programs/, RU/EN × PDF/DOCX + LaTeX); its full text is included here in the context of the main monograph.</w:t>
      </w:r>
    </w:p>
    <w:p>
      <w:pPr>
        <w:pStyle w:val="Heading1"/>
        <w:spacing w:after="160" w:before="360" w:line="312"/>
      </w:pPr>
      <w:bookmarkStart w:name="_Toc195" w:id="195"/>
      <w:r>
        <w:rPr>
          <w:rFonts w:ascii="Times New Roman" w:hAnsi="Times New Roman"/>
          <w:b/>
          <w:bCs/>
          <w:color w:val="2B2320"/>
          <w:sz w:val="32"/>
          <w:szCs w:val="32"/>
        </w:rPr>
        <w:t xml:space="preserve">Part VIII. Level Verdict Summaries</w:t>
      </w:r>
      <w:bookmarkEnd w:id="195"/>
    </w:p>
    <w:p>
      <w:pPr>
        <w:spacing w:after="160" w:line="312"/>
        <w:jc w:val="both"/>
      </w:pPr>
      <w:r>
        <w:rPr>
          <w:rFonts w:ascii="Times New Roman" w:hAnsi="Times New Roman"/>
          <w:color w:val="7A5C48"/>
          <w:sz w:val="23"/>
          <w:szCs w:val="23"/>
        </w:rPr>
        <w:t xml:space="preserve">Full summaries of key results by level: the core (19 campaigns), the processor (V20), verification (18 campaigns), the spinor study (5 campaigns). Source — datasets/campaign_timeline.csv; every row traces to a verdict file.</w:t>
      </w:r>
    </w:p>
    <w:p>
      <w:pPr>
        <w:keepNext/>
        <w:spacing w:after="80" w:before="160"/>
        <w:jc w:val="center"/>
      </w:pPr>
      <w:r>
        <w:rPr>
          <w:rFonts w:ascii="Times New Roman" w:hAnsi="Times New Roman"/>
          <w:b/>
          <w:bCs/>
          <w:color w:val="7A5C48"/>
          <w:sz w:val="19"/>
          <w:szCs w:val="19"/>
        </w:rPr>
        <w:t xml:space="preserve">Table VIII.1. Core: campaign summary V01–V19</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1083"/>
        <w:gridCol w:w="2347"/>
        <w:gridCol w:w="5596"/>
      </w:tblGrid>
      <w:tr>
        <w:trPr>
          <w:cantSplit/>
          <w:tblHeader/>
        </w:trPr>
        <w:tc>
          <w:tcPr>
            <w:tcW w:type="pct" w:w="6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Campaign</w:t>
            </w:r>
          </w:p>
        </w:tc>
        <w:tc>
          <w:tcPr>
            <w:tcW w:type="pct" w:w="13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Title</w:t>
            </w:r>
          </w:p>
        </w:tc>
        <w:tc>
          <w:tcPr>
            <w:tcW w:type="pct" w:w="31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Key result</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V1</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Blind spectrum</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слепой контроль выполнен; индивидуальные ординаты не предсказываются (r_test в нулевой зон</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V2</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Null models</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AB-cloud попадает в GUE-класс вместе с N1/N4; специфичность арифметики измеряется не ⟨r⟩, </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V3</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Lattice scan</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минимум D(σ) в окрестности σ = 1/2 отсутствует или неустойчив — специфичность линии измере</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V4</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Hermiticity</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Th1 доказана: эрмитовость по построению, спектр вещественен, киральность α=½/W=0 — бипарти</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V5</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Construction certificate</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устойчивый степенной закон конечномерной ошибки обнаружен; экстраполяция за пределы прогон</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V6</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Lattice closure</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тождество спектра (n ↔ нуль n) для решёточных затворов — НЕТ (ранговое соответствие в нуле</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V7</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Trace ↔ primes (Th6)</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вес простых Λ(n)/√n доказательно живёт в тепловом следе H_ξ (Th6: |ΔK| ≤ 5e-5); в следах р</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V8</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Self-adjointness</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Th2 доказана для конечной размерности; устойчивость предельной модели при смене BC — измер</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V9</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Block reduction</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Th5 доказана и верифицирована (тор без вихрей: спектр = объединение блоков характеров, вне</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V10</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Spectral certificates</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часть арифметики (заряды) идентифицируема по старшим следам при достаточном k; ранг J &lt; n_</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V11</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Obligation DAG draft</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GUE-универсальность выживает при всех режимах разрушения арифметики (⟨r⟩ в классе); арифме</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V12</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Kato certificates</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все сертификаты содержат истинные значения; интервалы — гарантированные, а не десятичные д</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V13</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Obligation machine</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формальная машина БЛОКИРУЕТ вывод RH: путь к заключению содержит гипотезы O08/O09/O11/O12;</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V14</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Claim audit</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каждое публичное утверждение пакета трассируется к вычислению, контролю и перечню не-следс</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V15</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Li formula</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Th4 доказана и верифицирована (два пути, |Δ| ≤ 1e-9); λ_n &gt; 0 для n ≤ 3000 измерено с серт</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V16</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Lattice re-check</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V17</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Trajectories</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V18</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Pong protocol</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V19</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Branch stitching</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V20</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Processor compilation (P0)</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1−F ≤ 4.4e-16; глубина ≤ 7/29</w:t>
            </w:r>
          </w:p>
        </w:tc>
      </w:tr>
    </w:tbl>
    <w:p>
      <w:pPr>
        <w:spacing w:after="120"/>
      </w:pPr>
    </w:p>
    <w:p>
      <w:pPr>
        <w:keepNext/>
        <w:spacing w:after="80" w:before="160"/>
        <w:jc w:val="center"/>
      </w:pPr>
      <w:r>
        <w:rPr>
          <w:rFonts w:ascii="Times New Roman" w:hAnsi="Times New Roman"/>
          <w:b/>
          <w:bCs/>
          <w:color w:val="7A5C48"/>
          <w:sz w:val="19"/>
          <w:szCs w:val="19"/>
        </w:rPr>
        <w:t xml:space="preserve">Table VIII.2. Verification: campaign summary E01–E18</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1083"/>
        <w:gridCol w:w="2347"/>
        <w:gridCol w:w="5596"/>
      </w:tblGrid>
      <w:tr>
        <w:trPr>
          <w:cantSplit/>
          <w:tblHeader/>
        </w:trPr>
        <w:tc>
          <w:tcPr>
            <w:tcW w:type="pct" w:w="6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Campaign</w:t>
            </w:r>
          </w:p>
        </w:tc>
        <w:tc>
          <w:tcPr>
            <w:tcW w:type="pct" w:w="13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Title</w:t>
            </w:r>
          </w:p>
        </w:tc>
        <w:tc>
          <w:tcPr>
            <w:tcW w:type="pct" w:w="31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Key result</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E01</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Контроли</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E02</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Haar</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E03</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Масштабирование</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E04</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Replay</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E05</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Фазовый шум</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E06</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Шум памяти</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E07</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Код повторения</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E08</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АЛУ</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E09</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Стоимость</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E10</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Phase readout</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E11</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Blind ζ reader</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E12</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Interferometer</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E13</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No-signaling</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E14</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CHSH</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E15</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Topology ablation</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E16</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Riemann–Siegel</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E17</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Blind zeros T=1000</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E18</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Class B baselines</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ES1</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Phase cycles</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ES2</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Volatility</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ES3</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Real time</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ES4</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Memoryless task</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ES5</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Noise diffusion</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bl>
    <w:p>
      <w:pPr>
        <w:spacing w:after="120"/>
      </w:pPr>
    </w:p>
    <w:p>
      <w:pPr>
        <w:keepNext/>
        <w:spacing w:after="80" w:before="160"/>
        <w:jc w:val="center"/>
      </w:pPr>
      <w:r>
        <w:rPr>
          <w:rFonts w:ascii="Times New Roman" w:hAnsi="Times New Roman"/>
          <w:b/>
          <w:bCs/>
          <w:color w:val="7A5C48"/>
          <w:sz w:val="19"/>
          <w:szCs w:val="19"/>
        </w:rPr>
        <w:t xml:space="preserve">Table VIII.3. Spinor study: summary ES1–ES5</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1083"/>
        <w:gridCol w:w="2347"/>
        <w:gridCol w:w="5596"/>
      </w:tblGrid>
      <w:tr>
        <w:trPr>
          <w:cantSplit/>
          <w:tblHeader/>
        </w:trPr>
        <w:tc>
          <w:tcPr>
            <w:tcW w:type="pct" w:w="6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Campaign</w:t>
            </w:r>
          </w:p>
        </w:tc>
        <w:tc>
          <w:tcPr>
            <w:tcW w:type="pct" w:w="13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Title</w:t>
            </w:r>
          </w:p>
        </w:tc>
        <w:tc>
          <w:tcPr>
            <w:tcW w:type="pct" w:w="31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Key result</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ES1</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Phase cycles</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ES2</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Volatility</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ES3</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Real time</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ES4</w:t>
            </w:r>
          </w:p>
        </w:tc>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Memoryless task</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ES5</w:t>
            </w:r>
          </w:p>
        </w:tc>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Noise diffusion</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bl>
    <w:p>
      <w:pPr>
        <w:spacing w:after="120"/>
      </w:pPr>
    </w:p>
    <w:p>
      <w:pPr>
        <w:pStyle w:val="Heading1"/>
        <w:spacing w:after="160" w:before="360" w:line="312"/>
      </w:pPr>
      <w:bookmarkStart w:name="_Toc196" w:id="196"/>
      <w:r>
        <w:rPr>
          <w:rFonts w:ascii="Times New Roman" w:hAnsi="Times New Roman"/>
          <w:b/>
          <w:bCs/>
          <w:color w:val="2B2320"/>
          <w:sz w:val="32"/>
          <w:szCs w:val="32"/>
        </w:rPr>
        <w:t xml:space="preserve">Appendix A. The Full Table of 43 Campaigns</w:t>
      </w:r>
      <w:bookmarkEnd w:id="196"/>
    </w:p>
    <w:p>
      <w:pPr>
        <w:spacing w:after="120" w:line="312"/>
        <w:jc w:val="both"/>
      </w:pPr>
      <w:r>
        <w:rPr>
          <w:rFonts w:ascii="Times New Roman" w:hAnsi="Times New Roman"/>
          <w:color w:val="2B2320"/>
          <w:sz w:val="22"/>
          <w:szCs w:val="22"/>
        </w:rPr>
        <w:t xml:space="preserve">The table is built directly from datasets/campaign_timeline.csv (rebuilt by scripts/make_datasets.py from verdict files). All 43 campaigns have status "done", verdicts PASS.</w:t>
      </w:r>
    </w:p>
    <w:p>
      <w:pPr>
        <w:keepNext/>
        <w:spacing w:after="80" w:before="160"/>
        <w:jc w:val="center"/>
      </w:pPr>
      <w:r>
        <w:rPr>
          <w:rFonts w:ascii="Times New Roman" w:hAnsi="Times New Roman"/>
          <w:b/>
          <w:bCs/>
          <w:color w:val="7A5C48"/>
          <w:sz w:val="19"/>
          <w:szCs w:val="19"/>
        </w:rPr>
        <w:t xml:space="preserve">Table A.1. The 43 campaigns of the program (campaign · module · title · key result)</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903"/>
        <w:gridCol w:w="1805"/>
        <w:gridCol w:w="1986"/>
        <w:gridCol w:w="4332"/>
      </w:tblGrid>
      <w:tr>
        <w:trPr>
          <w:cantSplit/>
          <w:tblHeader/>
        </w:trPr>
        <w:tc>
          <w:tcPr>
            <w:tcW w:type="pct" w:w="5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Campaign</w:t>
            </w:r>
          </w:p>
        </w:tc>
        <w:tc>
          <w:tcPr>
            <w:tcW w:type="pct" w:w="10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Module</w:t>
            </w:r>
          </w:p>
        </w:tc>
        <w:tc>
          <w:tcPr>
            <w:tcW w:type="pct" w:w="11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Title</w:t>
            </w:r>
          </w:p>
        </w:tc>
        <w:tc>
          <w:tcPr>
            <w:tcW w:type="pct" w:w="24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Key result</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V1</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Blind spectrum</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слепой контроль выполнен; индивидуальные ординаты не предсказываются (r_test в нулевой зон</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V2</w:t>
            </w:r>
          </w:p>
        </w:tc>
        <w:tc>
          <w:tcPr>
            <w:tcW w:type="pct" w:w="1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Null models</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AB-cloud попадает в GUE-класс вместе с N1/N4; специфичность арифметики измеряется не ⟨r⟩, </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V3</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Lattice scan</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минимум D(σ) в окрестности σ = 1/2 отсутствует или неустойчив — специфичность линии измере</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V4</w:t>
            </w:r>
          </w:p>
        </w:tc>
        <w:tc>
          <w:tcPr>
            <w:tcW w:type="pct" w:w="1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Hermiticity</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Th1 доказана: эрмитовость по построению, спектр вещественен, киральность α=½/W=0 — бипарти</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V5</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Construction certificate</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устойчивый степенной закон конечномерной ошибки обнаружен; экстраполяция за пределы прогон</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V6</w:t>
            </w:r>
          </w:p>
        </w:tc>
        <w:tc>
          <w:tcPr>
            <w:tcW w:type="pct" w:w="1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Lattice closure</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тождество спектра (n ↔ нуль n) для решёточных затворов — НЕТ (ранговое соответствие в нуле</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V7</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Trace ↔ primes (Th6)</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вес простых Λ(n)/√n доказательно живёт в тепловом следе H_ξ (Th6: |ΔK| ≤ 5e-5); в следах р</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V8</w:t>
            </w:r>
          </w:p>
        </w:tc>
        <w:tc>
          <w:tcPr>
            <w:tcW w:type="pct" w:w="1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Self-adjointness</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Th2 доказана для конечной размерности; устойчивость предельной модели при смене BC — измер</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V9</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Block reduction</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Th5 доказана и верифицирована (тор без вихрей: спектр = объединение блоков характеров, вне</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V10</w:t>
            </w:r>
          </w:p>
        </w:tc>
        <w:tc>
          <w:tcPr>
            <w:tcW w:type="pct" w:w="1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Spectral certificates</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часть арифметики (заряды) идентифицируема по старшим следам при достаточном k; ранг J &lt; n_</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V11</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Obligation DAG draft</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GUE-универсальность выживает при всех режимах разрушения арифметики (⟨r⟩ в классе); арифме</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V12</w:t>
            </w:r>
          </w:p>
        </w:tc>
        <w:tc>
          <w:tcPr>
            <w:tcW w:type="pct" w:w="1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Kato certificates</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все сертификаты содержат истинные значения; интервалы — гарантированные, а не десятичные д</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V13</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Obligation machine</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формальная машина БЛОКИРУЕТ вывод RH: путь к заключению содержит гипотезы O08/O09/O11/O12;</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V14</w:t>
            </w:r>
          </w:p>
        </w:tc>
        <w:tc>
          <w:tcPr>
            <w:tcW w:type="pct" w:w="1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Claim audit</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каждое публичное утверждение пакета трассируется к вычислению, контролю и перечню не-следс</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V15</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Li formula</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Th4 доказана и верифицирована (два пути, |Δ| ≤ 1e-9); λ_n &gt; 0 для n ≤ 3000 измерено с серт</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V16</w:t>
            </w:r>
          </w:p>
        </w:tc>
        <w:tc>
          <w:tcPr>
            <w:tcW w:type="pct" w:w="1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Lattice re-check</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V17</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Trajectories</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V18</w:t>
            </w:r>
          </w:p>
        </w:tc>
        <w:tc>
          <w:tcPr>
            <w:tcW w:type="pct" w:w="1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Pong protocol</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V19</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Branch stitching</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V20</w:t>
            </w:r>
          </w:p>
        </w:tc>
        <w:tc>
          <w:tcPr>
            <w:tcW w:type="pct" w:w="1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processor_ab</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Processor compilation (P0)</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1−F ≤ 4.4e-16; глубина ≤ 7/29</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E01</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Контроли</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E02</w:t>
            </w:r>
          </w:p>
        </w:tc>
        <w:tc>
          <w:tcPr>
            <w:tcW w:type="pct" w:w="1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Haar</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E03</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Масштабирование</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E04</w:t>
            </w:r>
          </w:p>
        </w:tc>
        <w:tc>
          <w:tcPr>
            <w:tcW w:type="pct" w:w="1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Replay</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E05</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Фазовый шум</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E06</w:t>
            </w:r>
          </w:p>
        </w:tc>
        <w:tc>
          <w:tcPr>
            <w:tcW w:type="pct" w:w="1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Шум памяти</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E07</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Код повторения</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E08</w:t>
            </w:r>
          </w:p>
        </w:tc>
        <w:tc>
          <w:tcPr>
            <w:tcW w:type="pct" w:w="1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АЛУ</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E09</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Стоимость</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E10</w:t>
            </w:r>
          </w:p>
        </w:tc>
        <w:tc>
          <w:tcPr>
            <w:tcW w:type="pct" w:w="1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Phase readout</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E11</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Blind ζ reader</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E12</w:t>
            </w:r>
          </w:p>
        </w:tc>
        <w:tc>
          <w:tcPr>
            <w:tcW w:type="pct" w:w="1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Interferometer</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E13</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No-signaling</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E14</w:t>
            </w:r>
          </w:p>
        </w:tc>
        <w:tc>
          <w:tcPr>
            <w:tcW w:type="pct" w:w="1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CHSH</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E15</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Topology ablation</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E16</w:t>
            </w:r>
          </w:p>
        </w:tc>
        <w:tc>
          <w:tcPr>
            <w:tcW w:type="pct" w:w="1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Riemann–Siegel</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E17</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Blind zeros T=1000</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E18</w:t>
            </w:r>
          </w:p>
        </w:tc>
        <w:tc>
          <w:tcPr>
            <w:tcW w:type="pct" w:w="1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Class B baselines</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ES1</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realtime_spinor_memory</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Phase cycles</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ES2</w:t>
            </w:r>
          </w:p>
        </w:tc>
        <w:tc>
          <w:tcPr>
            <w:tcW w:type="pct" w:w="1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realtime_spinor_memory</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Volatility</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ES3</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realtime_spinor_memory</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Real time</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ES4</w:t>
            </w:r>
          </w:p>
        </w:tc>
        <w:tc>
          <w:tcPr>
            <w:tcW w:type="pct" w:w="1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realtime_spinor_memory</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Memoryless task</w:t>
            </w:r>
          </w:p>
        </w:tc>
        <w:tc>
          <w:tcPr>
            <w:tcW w:type="pct" w:w="2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r>
        <w:trPr>
          <w:cantSplit/>
        </w:trPr>
        <w:tc>
          <w:tcPr>
            <w:tcW w:type="pct" w:w="500"/>
            <w:tcMar>
              <w:top w:type="dxa" w:w="60"/>
              <w:left w:type="dxa" w:w="120"/>
              <w:bottom w:type="dxa" w:w="60"/>
              <w:right w:type="dxa" w:w="120"/>
            </w:tcMar>
          </w:tcPr>
          <w:p>
            <w:pPr>
              <w:spacing w:line="276"/>
            </w:pPr>
            <w:r>
              <w:rPr>
                <w:rFonts w:ascii="Times New Roman" w:hAnsi="Times New Roman"/>
                <w:color w:val="2B2320"/>
                <w:sz w:val="18"/>
                <w:szCs w:val="18"/>
              </w:rPr>
              <w:t xml:space="preserve">ES5</w:t>
            </w:r>
          </w:p>
        </w:tc>
        <w:tc>
          <w:tcPr>
            <w:tcW w:type="pct" w:w="1000"/>
            <w:tcMar>
              <w:top w:type="dxa" w:w="60"/>
              <w:left w:type="dxa" w:w="120"/>
              <w:bottom w:type="dxa" w:w="60"/>
              <w:right w:type="dxa" w:w="120"/>
            </w:tcMar>
          </w:tcPr>
          <w:p>
            <w:pPr>
              <w:spacing w:line="276"/>
            </w:pPr>
            <w:r>
              <w:rPr>
                <w:rFonts w:ascii="Times New Roman" w:hAnsi="Times New Roman"/>
                <w:color w:val="2B2320"/>
                <w:sz w:val="18"/>
                <w:szCs w:val="18"/>
              </w:rPr>
              <w:t xml:space="preserve">realtime_spinor_memory</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Noise diffusion</w:t>
            </w:r>
          </w:p>
        </w:tc>
        <w:tc>
          <w:tcPr>
            <w:tcW w:type="pct" w:w="2400"/>
            <w:tcMar>
              <w:top w:type="dxa" w:w="60"/>
              <w:left w:type="dxa" w:w="120"/>
              <w:bottom w:type="dxa" w:w="60"/>
              <w:right w:type="dxa" w:w="120"/>
            </w:tcMar>
          </w:tcPr>
          <w:p>
            <w:pPr>
              <w:spacing w:line="276"/>
            </w:pPr>
            <w:r>
              <w:rPr>
                <w:rFonts w:ascii="Times New Roman" w:hAnsi="Times New Roman"/>
                <w:color w:val="2B2320"/>
                <w:sz w:val="18"/>
                <w:szCs w:val="18"/>
              </w:rPr>
              <w:t xml:space="preserve">N/A</w:t>
            </w:r>
          </w:p>
        </w:tc>
      </w:tr>
    </w:tbl>
    <w:p>
      <w:pPr>
        <w:spacing w:after="120"/>
      </w:pPr>
    </w:p>
    <w:p>
      <w:pPr>
        <w:pStyle w:val="Heading1"/>
        <w:spacing w:after="160" w:before="360" w:line="312"/>
      </w:pPr>
      <w:bookmarkStart w:name="_Toc197" w:id="197"/>
      <w:r>
        <w:rPr>
          <w:rFonts w:ascii="Times New Roman" w:hAnsi="Times New Roman"/>
          <w:b/>
          <w:bCs/>
          <w:color w:val="2B2320"/>
          <w:sz w:val="32"/>
          <w:szCs w:val="32"/>
        </w:rPr>
        <w:t xml:space="preserve">Appendix B. Flagship Numbers</w:t>
      </w:r>
      <w:bookmarkEnd w:id="197"/>
    </w:p>
    <w:p>
      <w:pPr>
        <w:spacing w:after="120" w:line="312"/>
        <w:jc w:val="both"/>
      </w:pPr>
      <w:r>
        <w:rPr>
          <w:rFonts w:ascii="Times New Roman" w:hAnsi="Times New Roman"/>
          <w:color w:val="2B2320"/>
          <w:sz w:val="22"/>
          <w:szCs w:val="22"/>
        </w:rPr>
        <w:t xml:space="preserve">The fifteen flagship metrics of the program; the source of each is a verdict file (datasets/flagship_numbers.csv).</w:t>
      </w:r>
    </w:p>
    <w:p>
      <w:pPr>
        <w:keepNext/>
        <w:spacing w:after="80" w:before="160"/>
        <w:jc w:val="center"/>
      </w:pPr>
      <w:r>
        <w:rPr>
          <w:rFonts w:ascii="Times New Roman" w:hAnsi="Times New Roman"/>
          <w:b/>
          <w:bCs/>
          <w:color w:val="7A5C48"/>
          <w:sz w:val="19"/>
          <w:szCs w:val="19"/>
        </w:rPr>
        <w:t xml:space="preserve">Table B.1. Flagship metrics</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4152"/>
        <w:gridCol w:w="2166"/>
        <w:gridCol w:w="2708"/>
      </w:tblGrid>
      <w:tr>
        <w:trPr>
          <w:cantSplit/>
          <w:tblHeader/>
        </w:trPr>
        <w:tc>
          <w:tcPr>
            <w:tcW w:type="pct" w:w="23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Metric</w:t>
            </w:r>
          </w:p>
        </w:tc>
        <w:tc>
          <w:tcPr>
            <w:tcW w:type="pct" w:w="12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Value</w:t>
            </w:r>
          </w:p>
        </w:tc>
        <w:tc>
          <w:tcPr>
            <w:tcW w:type="pct" w:w="15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Verdict source</w:t>
            </w:r>
          </w:p>
        </w:tc>
      </w:tr>
      <w:tr>
        <w:trPr>
          <w:cantSplit/>
        </w:trPr>
        <w:tc>
          <w:tcPr>
            <w:tcW w:type="pct" w:w="2300"/>
            <w:tcMar>
              <w:top w:type="dxa" w:w="60"/>
              <w:left w:type="dxa" w:w="120"/>
              <w:bottom w:type="dxa" w:w="60"/>
              <w:right w:type="dxa" w:w="120"/>
            </w:tcMar>
          </w:tcPr>
          <w:p>
            <w:pPr>
              <w:spacing w:line="276"/>
            </w:pPr>
            <w:r>
              <w:rPr>
                <w:rFonts w:ascii="Times New Roman" w:hAnsi="Times New Roman"/>
                <w:color w:val="2B2320"/>
                <w:sz w:val="18"/>
                <w:szCs w:val="18"/>
              </w:rPr>
              <w:t xml:space="preserve">Blind ζ zeros to T=1000 (EM)</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649/649</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e17_verdict.json</w:t>
            </w:r>
          </w:p>
        </w:tc>
      </w:tr>
      <w:tr>
        <w:trPr>
          <w:cantSplit/>
        </w:trPr>
        <w:tc>
          <w:tcPr>
            <w:tcW w:type="pct" w:w="2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Blind ζ zeros to T=1000 (Riemann–Siegel)</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639/639</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e17_verdict.json</w:t>
            </w:r>
          </w:p>
        </w:tc>
      </w:tr>
      <w:tr>
        <w:trPr>
          <w:cantSplit/>
        </w:trPr>
        <w:tc>
          <w:tcPr>
            <w:tcW w:type="pct" w:w="2300"/>
            <w:tcMar>
              <w:top w:type="dxa" w:w="60"/>
              <w:left w:type="dxa" w:w="120"/>
              <w:bottom w:type="dxa" w:w="60"/>
              <w:right w:type="dxa" w:w="120"/>
            </w:tcMar>
          </w:tcPr>
          <w:p>
            <w:pPr>
              <w:spacing w:line="276"/>
            </w:pPr>
            <w:r>
              <w:rPr>
                <w:rFonts w:ascii="Times New Roman" w:hAnsi="Times New Roman"/>
                <w:color w:val="2B2320"/>
                <w:sz w:val="18"/>
                <w:szCs w:val="18"/>
              </w:rPr>
              <w:t xml:space="preserve">Кросс-движок (макс. расхождение)</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0</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e17_verdict.json</w:t>
            </w:r>
          </w:p>
        </w:tc>
      </w:tr>
      <w:tr>
        <w:trPr>
          <w:cantSplit/>
        </w:trPr>
        <w:tc>
          <w:tcPr>
            <w:tcW w:type="pct" w:w="2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Полнота N(1000)</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649</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e17_verdict.json</w:t>
            </w:r>
          </w:p>
        </w:tc>
      </w:tr>
      <w:tr>
        <w:trPr>
          <w:cantSplit/>
        </w:trPr>
        <w:tc>
          <w:tcPr>
            <w:tcW w:type="pct" w:w="2300"/>
            <w:tcMar>
              <w:top w:type="dxa" w:w="60"/>
              <w:left w:type="dxa" w:w="120"/>
              <w:bottom w:type="dxa" w:w="60"/>
              <w:right w:type="dxa" w:w="120"/>
            </w:tcMar>
          </w:tcPr>
          <w:p>
            <w:pPr>
              <w:spacing w:line="276"/>
            </w:pPr>
            <w:r>
              <w:rPr>
                <w:rFonts w:ascii="Times New Roman" w:hAnsi="Times New Roman"/>
                <w:color w:val="2B2320"/>
                <w:sz w:val="18"/>
                <w:szCs w:val="18"/>
              </w:rPr>
              <w:t xml:space="preserve">РС vs ЭМ (E16, макс. отклонение)</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e16_verdict.json</w:t>
            </w:r>
          </w:p>
        </w:tc>
      </w:tr>
      <w:tr>
        <w:trPr>
          <w:cantSplit/>
        </w:trPr>
        <w:tc>
          <w:tcPr>
            <w:tcW w:type="pct" w:w="2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Компиляция 4×4: max (1−F)</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4.44e-16</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v20_verdict.json</w:t>
            </w:r>
          </w:p>
        </w:tc>
      </w:tr>
      <w:tr>
        <w:trPr>
          <w:cantSplit/>
        </w:trPr>
        <w:tc>
          <w:tcPr>
            <w:tcW w:type="pct" w:w="2300"/>
            <w:tcMar>
              <w:top w:type="dxa" w:w="60"/>
              <w:left w:type="dxa" w:w="120"/>
              <w:bottom w:type="dxa" w:w="60"/>
              <w:right w:type="dxa" w:w="120"/>
            </w:tcMar>
          </w:tcPr>
          <w:p>
            <w:pPr>
              <w:spacing w:line="276"/>
            </w:pPr>
            <w:r>
              <w:rPr>
                <w:rFonts w:ascii="Times New Roman" w:hAnsi="Times New Roman"/>
                <w:color w:val="2B2320"/>
                <w:sz w:val="18"/>
                <w:szCs w:val="18"/>
              </w:rPr>
              <w:t xml:space="preserve">Компиляция 8×8: max (1−F)</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6.66e-16</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v20_verdict.json</w:t>
            </w:r>
          </w:p>
        </w:tc>
      </w:tr>
      <w:tr>
        <w:trPr>
          <w:cantSplit/>
        </w:trPr>
        <w:tc>
          <w:tcPr>
            <w:tcW w:type="pct" w:w="2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Глубина компиляции (4×4 / 8×8)</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7 / 29 затворов</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v20_verdict.json</w:t>
            </w:r>
          </w:p>
        </w:tc>
      </w:tr>
      <w:tr>
        <w:trPr>
          <w:cantSplit/>
        </w:trPr>
        <w:tc>
          <w:tcPr>
            <w:tcW w:type="pct" w:w="2300"/>
            <w:tcMar>
              <w:top w:type="dxa" w:w="60"/>
              <w:left w:type="dxa" w:w="120"/>
              <w:bottom w:type="dxa" w:w="60"/>
              <w:right w:type="dxa" w:w="120"/>
            </w:tcMar>
          </w:tcPr>
          <w:p>
            <w:pPr>
              <w:spacing w:line="276"/>
            </w:pPr>
            <w:r>
              <w:rPr>
                <w:rFonts w:ascii="Times New Roman" w:hAnsi="Times New Roman"/>
                <w:color w:val="2B2320"/>
                <w:sz w:val="18"/>
                <w:szCs w:val="18"/>
              </w:rPr>
              <w:t xml:space="preserve">След ↔ простые: r(H_ξ)</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0.999626</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v07_verdict.json</w:t>
            </w:r>
          </w:p>
        </w:tc>
      </w:tr>
      <w:tr>
        <w:trPr>
          <w:cantSplit/>
        </w:trPr>
        <w:tc>
          <w:tcPr>
            <w:tcW w:type="pct" w:w="2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CHSH S (V24-превью)</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2.828427124746</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v20_verdict.json</w:t>
            </w:r>
          </w:p>
        </w:tc>
      </w:tr>
      <w:tr>
        <w:trPr>
          <w:cantSplit/>
        </w:trPr>
        <w:tc>
          <w:tcPr>
            <w:tcW w:type="pct" w:w="2300"/>
            <w:tcMar>
              <w:top w:type="dxa" w:w="60"/>
              <w:left w:type="dxa" w:w="120"/>
              <w:bottom w:type="dxa" w:w="60"/>
              <w:right w:type="dxa" w:w="120"/>
            </w:tcMar>
          </w:tcPr>
          <w:p>
            <w:pPr>
              <w:spacing w:line="276"/>
            </w:pPr>
            <w:r>
              <w:rPr>
                <w:rFonts w:ascii="Times New Roman" w:hAnsi="Times New Roman"/>
                <w:color w:val="2B2320"/>
                <w:sz w:val="18"/>
                <w:szCs w:val="18"/>
              </w:rPr>
              <w:t xml:space="preserve">E18: преимущество компилятора по времени</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×59 000</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e18_verdict.json</w:t>
            </w:r>
          </w:p>
        </w:tc>
      </w:tr>
      <w:tr>
        <w:trPr>
          <w:cantSplit/>
        </w:trPr>
        <w:tc>
          <w:tcPr>
            <w:tcW w:type="pct" w:w="2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ES1: периоды циклов (π/2·π/3·π/7)</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4 / 6 / 14 = 2k</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es1_cycles_verdict.json</w:t>
            </w:r>
          </w:p>
        </w:tc>
      </w:tr>
      <w:tr>
        <w:trPr>
          <w:cantSplit/>
        </w:trPr>
        <w:tc>
          <w:tcPr>
            <w:tcW w:type="pct" w:w="2300"/>
            <w:tcMar>
              <w:top w:type="dxa" w:w="60"/>
              <w:left w:type="dxa" w:w="120"/>
              <w:bottom w:type="dxa" w:w="60"/>
              <w:right w:type="dxa" w:w="120"/>
            </w:tcMar>
          </w:tcPr>
          <w:p>
            <w:pPr>
              <w:spacing w:line="276"/>
            </w:pPr>
            <w:r>
              <w:rPr>
                <w:rFonts w:ascii="Times New Roman" w:hAnsi="Times New Roman"/>
                <w:color w:val="2B2320"/>
                <w:sz w:val="18"/>
                <w:szCs w:val="18"/>
              </w:rPr>
              <w:t xml:space="preserve">ES2: реконструкция после сброса</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0.2501 ≈ 1/N</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es2_volatility_verdict.json</w:t>
            </w:r>
          </w:p>
        </w:tc>
      </w:tr>
      <w:tr>
        <w:trPr>
          <w:cantSplit/>
        </w:trPr>
        <w:tc>
          <w:tcPr>
            <w:tcW w:type="pct" w:w="2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ES3: наклон стоимости шага машины</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-1.0e-09 нс/шаг²</w:t>
            </w:r>
          </w:p>
        </w:tc>
        <w:tc>
          <w:tcPr>
            <w:tcW w:type="pct" w:w="1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es3_realtime_verdict.json</w:t>
            </w:r>
          </w:p>
        </w:tc>
      </w:tr>
      <w:tr>
        <w:trPr>
          <w:cantSplit/>
        </w:trPr>
        <w:tc>
          <w:tcPr>
            <w:tcW w:type="pct" w:w="2300"/>
            <w:tcMar>
              <w:top w:type="dxa" w:w="60"/>
              <w:left w:type="dxa" w:w="120"/>
              <w:bottom w:type="dxa" w:w="60"/>
              <w:right w:type="dxa" w:w="120"/>
            </w:tcMar>
          </w:tcPr>
          <w:p>
            <w:pPr>
              <w:spacing w:line="276"/>
            </w:pPr>
            <w:r>
              <w:rPr>
                <w:rFonts w:ascii="Times New Roman" w:hAnsi="Times New Roman"/>
                <w:color w:val="2B2320"/>
                <w:sz w:val="18"/>
                <w:szCs w:val="18"/>
              </w:rPr>
              <w:t xml:space="preserve">ES5: зона тишины σ* (S1/S2/S3)</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0.135 / 0.089 / 0.038 рад</w:t>
            </w:r>
          </w:p>
        </w:tc>
        <w:tc>
          <w:tcPr>
            <w:tcW w:type="pct" w:w="1500"/>
            <w:tcMar>
              <w:top w:type="dxa" w:w="60"/>
              <w:left w:type="dxa" w:w="120"/>
              <w:bottom w:type="dxa" w:w="60"/>
              <w:right w:type="dxa" w:w="120"/>
            </w:tcMar>
          </w:tcPr>
          <w:p>
            <w:pPr>
              <w:spacing w:line="276"/>
            </w:pPr>
            <w:r>
              <w:rPr>
                <w:rFonts w:ascii="Times New Roman" w:hAnsi="Times New Roman"/>
                <w:color w:val="2B2320"/>
                <w:sz w:val="18"/>
                <w:szCs w:val="18"/>
              </w:rPr>
              <w:t xml:space="preserve">es5_noise_verdict.json</w:t>
            </w:r>
          </w:p>
        </w:tc>
      </w:tr>
    </w:tbl>
    <w:p>
      <w:pPr>
        <w:spacing w:after="120"/>
      </w:pPr>
    </w:p>
    <w:p>
      <w:pPr>
        <w:pStyle w:val="Heading1"/>
        <w:spacing w:after="160" w:before="360" w:line="312"/>
      </w:pPr>
      <w:bookmarkStart w:name="_Toc198" w:id="198"/>
      <w:r>
        <w:rPr>
          <w:rFonts w:ascii="Times New Roman" w:hAnsi="Times New Roman"/>
          <w:b/>
          <w:bCs/>
          <w:color w:val="2B2320"/>
          <w:sz w:val="32"/>
          <w:szCs w:val="32"/>
        </w:rPr>
        <w:t xml:space="preserve">Appendix C. Theorem Summary</w:t>
      </w:r>
      <w:bookmarkEnd w:id="198"/>
    </w:p>
    <w:p>
      <w:pPr>
        <w:keepNext/>
        <w:spacing w:after="80" w:before="160"/>
        <w:jc w:val="center"/>
      </w:pPr>
      <w:r>
        <w:rPr>
          <w:rFonts w:ascii="Times New Roman" w:hAnsi="Times New Roman"/>
          <w:b/>
          <w:bCs/>
          <w:color w:val="7A5C48"/>
          <w:sz w:val="19"/>
          <w:szCs w:val="19"/>
        </w:rPr>
        <w:t xml:space="preserve">Table C.1. Nine theorems: core and spinor study</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993"/>
        <w:gridCol w:w="993"/>
        <w:gridCol w:w="4513"/>
        <w:gridCol w:w="2527"/>
      </w:tblGrid>
      <w:tr>
        <w:trPr>
          <w:cantSplit/>
          <w:tblHeader/>
        </w:trPr>
        <w:tc>
          <w:tcPr>
            <w:tcW w:type="pct" w:w="55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Theorem</w:t>
            </w:r>
          </w:p>
        </w:tc>
        <w:tc>
          <w:tcPr>
            <w:tcW w:type="pct" w:w="55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Campaign</w:t>
            </w:r>
          </w:p>
        </w:tc>
        <w:tc>
          <w:tcPr>
            <w:tcW w:type="pct" w:w="25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Statement (short)</w:t>
            </w:r>
          </w:p>
        </w:tc>
        <w:tc>
          <w:tcPr>
            <w:tcW w:type="pct" w:w="14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Certificate</w:t>
            </w:r>
          </w:p>
        </w:tc>
      </w:tr>
      <w:tr>
        <w:trPr>
          <w:cantSplit/>
        </w:trPr>
        <w:tc>
          <w:tcPr>
            <w:tcW w:type="pct" w:w="550"/>
            <w:tcMar>
              <w:top w:type="dxa" w:w="60"/>
              <w:left w:type="dxa" w:w="120"/>
              <w:bottom w:type="dxa" w:w="60"/>
              <w:right w:type="dxa" w:w="120"/>
            </w:tcMar>
          </w:tcPr>
          <w:p>
            <w:pPr>
              <w:spacing w:line="276"/>
            </w:pPr>
            <w:r>
              <w:rPr>
                <w:rFonts w:ascii="Times New Roman" w:hAnsi="Times New Roman"/>
                <w:color w:val="2B2320"/>
                <w:sz w:val="18"/>
                <w:szCs w:val="18"/>
              </w:rPr>
              <w:t xml:space="preserve">Th1</w:t>
            </w:r>
          </w:p>
        </w:tc>
        <w:tc>
          <w:tcPr>
            <w:tcW w:type="pct" w:w="550"/>
            <w:tcMar>
              <w:top w:type="dxa" w:w="60"/>
              <w:left w:type="dxa" w:w="120"/>
              <w:bottom w:type="dxa" w:w="60"/>
              <w:right w:type="dxa" w:w="120"/>
            </w:tcMar>
          </w:tcPr>
          <w:p>
            <w:pPr>
              <w:spacing w:line="276"/>
            </w:pPr>
            <w:r>
              <w:rPr>
                <w:rFonts w:ascii="Times New Roman" w:hAnsi="Times New Roman"/>
                <w:color w:val="2B2320"/>
                <w:sz w:val="18"/>
                <w:szCs w:val="18"/>
              </w:rPr>
              <w:t xml:space="preserve">V4</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Hermiticity ⇒ spec ⊂ ℝ; λ ↔ −λ at α = ½</w:t>
            </w:r>
          </w:p>
        </w:tc>
        <w:tc>
          <w:tcPr>
            <w:tcW w:type="pct" w:w="1400"/>
            <w:tcMar>
              <w:top w:type="dxa" w:w="60"/>
              <w:left w:type="dxa" w:w="120"/>
              <w:bottom w:type="dxa" w:w="60"/>
              <w:right w:type="dxa" w:w="120"/>
            </w:tcMar>
          </w:tcPr>
          <w:p>
            <w:pPr>
              <w:spacing w:line="276"/>
            </w:pPr>
            <w:r>
              <w:rPr>
                <w:rFonts w:ascii="Times New Roman" w:hAnsi="Times New Roman"/>
                <w:color w:val="2B2320"/>
                <w:sz w:val="18"/>
                <w:szCs w:val="18"/>
              </w:rPr>
              <w:t xml:space="preserve">‖H − H†‖ = 0.0</w:t>
            </w:r>
          </w:p>
        </w:tc>
      </w:tr>
      <w:tr>
        <w:trPr>
          <w:cantSplit/>
        </w:trPr>
        <w:tc>
          <w:tcPr>
            <w:tcW w:type="pct" w:w="55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Th2</w:t>
            </w:r>
          </w:p>
        </w:tc>
        <w:tc>
          <w:tcPr>
            <w:tcW w:type="pct" w:w="55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V8</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self-adjointness ℂ^N; defects (0,0); unitary evolution</w:t>
            </w:r>
          </w:p>
        </w:tc>
        <w:tc>
          <w:tcPr>
            <w:tcW w:type="pct" w:w="1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drift 2.2e−16</w:t>
            </w:r>
          </w:p>
        </w:tc>
      </w:tr>
      <w:tr>
        <w:trPr>
          <w:cantSplit/>
        </w:trPr>
        <w:tc>
          <w:tcPr>
            <w:tcW w:type="pct" w:w="550"/>
            <w:tcMar>
              <w:top w:type="dxa" w:w="60"/>
              <w:left w:type="dxa" w:w="120"/>
              <w:bottom w:type="dxa" w:w="60"/>
              <w:right w:type="dxa" w:w="120"/>
            </w:tcMar>
          </w:tcPr>
          <w:p>
            <w:pPr>
              <w:spacing w:line="276"/>
            </w:pPr>
            <w:r>
              <w:rPr>
                <w:rFonts w:ascii="Times New Roman" w:hAnsi="Times New Roman"/>
                <w:color w:val="2B2320"/>
                <w:sz w:val="18"/>
                <w:szCs w:val="18"/>
              </w:rPr>
              <w:t xml:space="preserve">Th3</w:t>
            </w:r>
          </w:p>
        </w:tc>
        <w:tc>
          <w:tcPr>
            <w:tcW w:type="pct" w:w="550"/>
            <w:tcMar>
              <w:top w:type="dxa" w:w="60"/>
              <w:left w:type="dxa" w:w="120"/>
              <w:bottom w:type="dxa" w:w="60"/>
              <w:right w:type="dxa" w:w="120"/>
            </w:tcMar>
          </w:tcPr>
          <w:p>
            <w:pPr>
              <w:spacing w:line="276"/>
            </w:pPr>
            <w:r>
              <w:rPr>
                <w:rFonts w:ascii="Times New Roman" w:hAnsi="Times New Roman"/>
                <w:color w:val="2B2320"/>
                <w:sz w:val="18"/>
                <w:szCs w:val="18"/>
              </w:rPr>
              <w:t xml:space="preserve">V12</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Kato estimate of the pseudospectral error</w:t>
            </w:r>
          </w:p>
        </w:tc>
        <w:tc>
          <w:tcPr>
            <w:tcW w:type="pct" w:w="1400"/>
            <w:tcMar>
              <w:top w:type="dxa" w:w="60"/>
              <w:left w:type="dxa" w:w="120"/>
              <w:bottom w:type="dxa" w:w="60"/>
              <w:right w:type="dxa" w:w="120"/>
            </w:tcMar>
          </w:tcPr>
          <w:p>
            <w:pPr>
              <w:spacing w:line="276"/>
            </w:pPr>
            <w:r>
              <w:rPr>
                <w:rFonts w:ascii="Times New Roman" w:hAnsi="Times New Roman"/>
                <w:color w:val="2B2320"/>
                <w:sz w:val="18"/>
                <w:szCs w:val="18"/>
              </w:rPr>
              <w:t xml:space="preserve">widths ~1e−27</w:t>
            </w:r>
          </w:p>
        </w:tc>
      </w:tr>
      <w:tr>
        <w:trPr>
          <w:cantSplit/>
        </w:trPr>
        <w:tc>
          <w:tcPr>
            <w:tcW w:type="pct" w:w="55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Th4</w:t>
            </w:r>
          </w:p>
        </w:tc>
        <w:tc>
          <w:tcPr>
            <w:tcW w:type="pct" w:w="55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V15</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Li formula: λ_n = Tr g_n(H_ξ); convergence</w:t>
            </w:r>
          </w:p>
        </w:tc>
        <w:tc>
          <w:tcPr>
            <w:tcW w:type="pct" w:w="1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two paths ≤ 4.4e−11</w:t>
            </w:r>
          </w:p>
        </w:tc>
      </w:tr>
      <w:tr>
        <w:trPr>
          <w:cantSplit/>
        </w:trPr>
        <w:tc>
          <w:tcPr>
            <w:tcW w:type="pct" w:w="550"/>
            <w:tcMar>
              <w:top w:type="dxa" w:w="60"/>
              <w:left w:type="dxa" w:w="120"/>
              <w:bottom w:type="dxa" w:w="60"/>
              <w:right w:type="dxa" w:w="120"/>
            </w:tcMar>
          </w:tcPr>
          <w:p>
            <w:pPr>
              <w:spacing w:line="276"/>
            </w:pPr>
            <w:r>
              <w:rPr>
                <w:rFonts w:ascii="Times New Roman" w:hAnsi="Times New Roman"/>
                <w:color w:val="2B2320"/>
                <w:sz w:val="18"/>
                <w:szCs w:val="18"/>
              </w:rPr>
              <w:t xml:space="preserve">Th5</w:t>
            </w:r>
          </w:p>
        </w:tc>
        <w:tc>
          <w:tcPr>
            <w:tcW w:type="pct" w:w="550"/>
            <w:tcMar>
              <w:top w:type="dxa" w:w="60"/>
              <w:left w:type="dxa" w:w="120"/>
              <w:bottom w:type="dxa" w:w="60"/>
              <w:right w:type="dxa" w:w="120"/>
            </w:tcMar>
          </w:tcPr>
          <w:p>
            <w:pPr>
              <w:spacing w:line="276"/>
            </w:pPr>
            <w:r>
              <w:rPr>
                <w:rFonts w:ascii="Times New Roman" w:hAnsi="Times New Roman"/>
                <w:color w:val="2B2320"/>
                <w:sz w:val="18"/>
                <w:szCs w:val="18"/>
              </w:rPr>
              <w:t xml:space="preserve">V9</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block reduction by characters</w:t>
            </w:r>
          </w:p>
        </w:tc>
        <w:tc>
          <w:tcPr>
            <w:tcW w:type="pct" w:w="1400"/>
            <w:tcMar>
              <w:top w:type="dxa" w:w="60"/>
              <w:left w:type="dxa" w:w="120"/>
              <w:bottom w:type="dxa" w:w="60"/>
              <w:right w:type="dxa" w:w="120"/>
            </w:tcMar>
          </w:tcPr>
          <w:p>
            <w:pPr>
              <w:spacing w:line="276"/>
            </w:pPr>
            <w:r>
              <w:rPr>
                <w:rFonts w:ascii="Times New Roman" w:hAnsi="Times New Roman"/>
                <w:color w:val="2B2320"/>
                <w:sz w:val="18"/>
                <w:szCs w:val="18"/>
              </w:rPr>
              <w:t xml:space="preserve">7.1e−15</w:t>
            </w:r>
          </w:p>
        </w:tc>
      </w:tr>
      <w:tr>
        <w:trPr>
          <w:cantSplit/>
        </w:trPr>
        <w:tc>
          <w:tcPr>
            <w:tcW w:type="pct" w:w="55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Th6</w:t>
            </w:r>
          </w:p>
        </w:tc>
        <w:tc>
          <w:tcPr>
            <w:tcW w:type="pct" w:w="55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V7</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trace carries Λ(n)/√n; Q(a) ↔ ζ′/ζ</w:t>
            </w:r>
          </w:p>
        </w:tc>
        <w:tc>
          <w:tcPr>
            <w:tcW w:type="pct" w:w="1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r = 0.9996</w:t>
            </w:r>
          </w:p>
        </w:tc>
      </w:tr>
      <w:tr>
        <w:trPr>
          <w:cantSplit/>
        </w:trPr>
        <w:tc>
          <w:tcPr>
            <w:tcW w:type="pct" w:w="550"/>
            <w:tcMar>
              <w:top w:type="dxa" w:w="60"/>
              <w:left w:type="dxa" w:w="120"/>
              <w:bottom w:type="dxa" w:w="60"/>
              <w:right w:type="dxa" w:w="120"/>
            </w:tcMar>
          </w:tcPr>
          <w:p>
            <w:pPr>
              <w:spacing w:line="276"/>
            </w:pPr>
            <w:r>
              <w:rPr>
                <w:rFonts w:ascii="Times New Roman" w:hAnsi="Times New Roman"/>
                <w:color w:val="2B2320"/>
                <w:sz w:val="18"/>
                <w:szCs w:val="18"/>
              </w:rPr>
              <w:t xml:space="preserve">TS1</w:t>
            </w:r>
          </w:p>
        </w:tc>
        <w:tc>
          <w:tcPr>
            <w:tcW w:type="pct" w:w="550"/>
            <w:tcMar>
              <w:top w:type="dxa" w:w="60"/>
              <w:left w:type="dxa" w:w="120"/>
              <w:bottom w:type="dxa" w:w="60"/>
              <w:right w:type="dxa" w:w="120"/>
            </w:tcMar>
          </w:tcPr>
          <w:p>
            <w:pPr>
              <w:spacing w:line="276"/>
            </w:pPr>
            <w:r>
              <w:rPr>
                <w:rFonts w:ascii="Times New Roman" w:hAnsi="Times New Roman"/>
                <w:color w:val="2B2320"/>
                <w:sz w:val="18"/>
                <w:szCs w:val="18"/>
              </w:rPr>
              <w:t xml:space="preserve">ES1</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the cycle θ = π/k closes after N = 2k</w:t>
            </w:r>
          </w:p>
        </w:tc>
        <w:tc>
          <w:tcPr>
            <w:tcW w:type="pct" w:w="1400"/>
            <w:tcMar>
              <w:top w:type="dxa" w:w="60"/>
              <w:left w:type="dxa" w:w="120"/>
              <w:bottom w:type="dxa" w:w="60"/>
              <w:right w:type="dxa" w:w="120"/>
            </w:tcMar>
          </w:tcPr>
          <w:p>
            <w:pPr>
              <w:spacing w:line="276"/>
            </w:pPr>
            <w:r>
              <w:rPr>
                <w:rFonts w:ascii="Times New Roman" w:hAnsi="Times New Roman"/>
                <w:color w:val="2B2320"/>
                <w:sz w:val="18"/>
                <w:szCs w:val="18"/>
              </w:rPr>
              <w:t xml:space="preserve">4/6/14 exactly</w:t>
            </w:r>
          </w:p>
        </w:tc>
      </w:tr>
      <w:tr>
        <w:trPr>
          <w:cantSplit/>
        </w:trPr>
        <w:tc>
          <w:tcPr>
            <w:tcW w:type="pct" w:w="55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TS2</w:t>
            </w:r>
          </w:p>
        </w:tc>
        <w:tc>
          <w:tcPr>
            <w:tcW w:type="pct" w:w="55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ES2</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reset erases: I = 0; reconstruction ≤ 1/N</w:t>
            </w:r>
          </w:p>
        </w:tc>
        <w:tc>
          <w:tcPr>
            <w:tcW w:type="pct" w:w="1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0.2501/0.1674/0.0717</w:t>
            </w:r>
          </w:p>
        </w:tc>
      </w:tr>
      <w:tr>
        <w:trPr>
          <w:cantSplit/>
        </w:trPr>
        <w:tc>
          <w:tcPr>
            <w:tcW w:type="pct" w:w="550"/>
            <w:tcMar>
              <w:top w:type="dxa" w:w="60"/>
              <w:left w:type="dxa" w:w="120"/>
              <w:bottom w:type="dxa" w:w="60"/>
              <w:right w:type="dxa" w:w="120"/>
            </w:tcMar>
          </w:tcPr>
          <w:p>
            <w:pPr>
              <w:spacing w:line="276"/>
            </w:pPr>
            <w:r>
              <w:rPr>
                <w:rFonts w:ascii="Times New Roman" w:hAnsi="Times New Roman"/>
                <w:color w:val="2B2320"/>
                <w:sz w:val="18"/>
                <w:szCs w:val="18"/>
              </w:rPr>
              <w:t xml:space="preserve">TS3</w:t>
            </w:r>
          </w:p>
        </w:tc>
        <w:tc>
          <w:tcPr>
            <w:tcW w:type="pct" w:w="550"/>
            <w:tcMar>
              <w:top w:type="dxa" w:w="60"/>
              <w:left w:type="dxa" w:w="120"/>
              <w:bottom w:type="dxa" w:w="60"/>
              <w:right w:type="dxa" w:w="120"/>
            </w:tcMar>
          </w:tcPr>
          <w:p>
            <w:pPr>
              <w:spacing w:line="276"/>
            </w:pPr>
            <w:r>
              <w:rPr>
                <w:rFonts w:ascii="Times New Roman" w:hAnsi="Times New Roman"/>
                <w:color w:val="2B2320"/>
                <w:sz w:val="18"/>
                <w:szCs w:val="18"/>
              </w:rPr>
              <w:t xml:space="preserve">ES3</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O(1) steps; a log ⇒ Ω(t)</w:t>
            </w:r>
          </w:p>
        </w:tc>
        <w:tc>
          <w:tcPr>
            <w:tcW w:type="pct" w:w="1400"/>
            <w:tcMar>
              <w:top w:type="dxa" w:w="60"/>
              <w:left w:type="dxa" w:w="120"/>
              <w:bottom w:type="dxa" w:w="60"/>
              <w:right w:type="dxa" w:w="120"/>
            </w:tcMar>
          </w:tcPr>
          <w:p>
            <w:pPr>
              <w:spacing w:line="276"/>
            </w:pPr>
            <w:r>
              <w:rPr>
                <w:rFonts w:ascii="Times New Roman" w:hAnsi="Times New Roman"/>
                <w:color w:val="2B2320"/>
                <w:sz w:val="18"/>
                <w:szCs w:val="18"/>
              </w:rPr>
              <w:t xml:space="preserve">slope −1.5e−12; ×129</w:t>
            </w:r>
          </w:p>
        </w:tc>
      </w:tr>
    </w:tbl>
    <w:p>
      <w:pPr>
        <w:spacing w:after="120"/>
      </w:pPr>
    </w:p>
    <w:p>
      <w:pPr>
        <w:pStyle w:val="Heading1"/>
        <w:spacing w:after="160" w:before="360" w:line="312"/>
      </w:pPr>
      <w:bookmarkStart w:name="_Toc199" w:id="199"/>
      <w:r>
        <w:rPr>
          <w:rFonts w:ascii="Times New Roman" w:hAnsi="Times New Roman"/>
          <w:b/>
          <w:bCs/>
          <w:color w:val="2B2320"/>
          <w:sz w:val="32"/>
          <w:szCs w:val="32"/>
        </w:rPr>
        <w:t xml:space="preserve">Appendix D. Glossary (Selected)</w:t>
      </w:r>
      <w:bookmarkEnd w:id="199"/>
    </w:p>
    <w:p>
      <w:pPr>
        <w:keepNext/>
        <w:spacing w:after="80" w:before="160"/>
        <w:jc w:val="center"/>
      </w:pPr>
      <w:r>
        <w:rPr>
          <w:rFonts w:ascii="Times New Roman" w:hAnsi="Times New Roman"/>
          <w:b/>
          <w:bCs/>
          <w:color w:val="7A5C48"/>
          <w:sz w:val="19"/>
          <w:szCs w:val="19"/>
        </w:rPr>
        <w:t xml:space="preserve">Table D.1. Key terms</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2527"/>
        <w:gridCol w:w="6499"/>
      </w:tblGrid>
      <w:tr>
        <w:trPr>
          <w:cantSplit/>
          <w:tblHeader/>
        </w:trPr>
        <w:tc>
          <w:tcPr>
            <w:tcW w:type="pct" w:w="14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Term</w:t>
            </w:r>
          </w:p>
        </w:tc>
        <w:tc>
          <w:tcPr>
            <w:tcW w:type="pct" w:w="36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Definition</w:t>
            </w:r>
          </w:p>
        </w:tc>
      </w:tr>
      <w:tr>
        <w:trPr>
          <w:cantSplit/>
        </w:trPr>
        <w:tc>
          <w:tcPr>
            <w:tcW w:type="pct" w:w="1400"/>
            <w:tcMar>
              <w:top w:type="dxa" w:w="60"/>
              <w:left w:type="dxa" w:w="120"/>
              <w:bottom w:type="dxa" w:w="60"/>
              <w:right w:type="dxa" w:w="120"/>
            </w:tcMar>
          </w:tcPr>
          <w:p>
            <w:pPr>
              <w:spacing w:line="276"/>
            </w:pPr>
            <w:r>
              <w:rPr>
                <w:rFonts w:ascii="Times New Roman" w:hAnsi="Times New Roman"/>
                <w:color w:val="2B2320"/>
                <w:sz w:val="18"/>
                <w:szCs w:val="18"/>
              </w:rPr>
              <w:t xml:space="preserve">AB cloud</w:t>
            </w:r>
          </w:p>
        </w:tc>
        <w:tc>
          <w:tcPr>
            <w:tcW w:type="pct" w:w="3600"/>
            <w:tcMar>
              <w:top w:type="dxa" w:w="60"/>
              <w:left w:type="dxa" w:w="120"/>
              <w:bottom w:type="dxa" w:w="60"/>
              <w:right w:type="dxa" w:w="120"/>
            </w:tcMar>
          </w:tcPr>
          <w:p>
            <w:pPr>
              <w:spacing w:line="276"/>
            </w:pPr>
            <w:r>
              <w:rPr>
                <w:rFonts w:ascii="Times New Roman" w:hAnsi="Times New Roman"/>
                <w:color w:val="2B2320"/>
                <w:sz w:val="18"/>
                <w:szCs w:val="18"/>
              </w:rPr>
              <w:t xml:space="preserve">the elementary unitary operation of the ISA: a ring of phases with an Aharonov–Bohm flux</w:t>
            </w:r>
          </w:p>
        </w:tc>
      </w:tr>
      <w:tr>
        <w:trPr>
          <w:cantSplit/>
        </w:trPr>
        <w:tc>
          <w:tcPr>
            <w:tcW w:type="pct" w:w="1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Givens–QR</w:t>
            </w:r>
          </w:p>
        </w:tc>
        <w:tc>
          <w:tcPr>
            <w:tcW w:type="pct" w:w="3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decomposition of a unitary matrix into planar rotations; the basis of the V20 compiler</w:t>
            </w:r>
          </w:p>
        </w:tc>
      </w:tr>
      <w:tr>
        <w:trPr>
          <w:cantSplit/>
        </w:trPr>
        <w:tc>
          <w:tcPr>
            <w:tcW w:type="pct" w:w="1400"/>
            <w:tcMar>
              <w:top w:type="dxa" w:w="60"/>
              <w:left w:type="dxa" w:w="120"/>
              <w:bottom w:type="dxa" w:w="60"/>
              <w:right w:type="dxa" w:w="120"/>
            </w:tcMar>
          </w:tcPr>
          <w:p>
            <w:pPr>
              <w:spacing w:line="276"/>
            </w:pPr>
            <w:r>
              <w:rPr>
                <w:rFonts w:ascii="Times New Roman" w:hAnsi="Times New Roman"/>
                <w:color w:val="2B2320"/>
                <w:sz w:val="18"/>
                <w:szCs w:val="18"/>
              </w:rPr>
              <w:t xml:space="preserve">Silence zone σ*</w:t>
            </w:r>
          </w:p>
        </w:tc>
        <w:tc>
          <w:tcPr>
            <w:tcW w:type="pct" w:w="3600"/>
            <w:tcMar>
              <w:top w:type="dxa" w:w="60"/>
              <w:left w:type="dxa" w:w="120"/>
              <w:bottom w:type="dxa" w:w="60"/>
              <w:right w:type="dxa" w:w="120"/>
            </w:tcMar>
          </w:tcPr>
          <w:p>
            <w:pPr>
              <w:spacing w:line="276"/>
            </w:pPr>
            <w:r>
              <w:rPr>
                <w:rFonts w:ascii="Times New Roman" w:hAnsi="Times New Roman"/>
                <w:color w:val="2B2320"/>
                <w:sz w:val="18"/>
                <w:szCs w:val="18"/>
              </w:rPr>
              <w:t xml:space="preserve">the maximal phase noise that does not break the cycle count</w:t>
            </w:r>
          </w:p>
        </w:tc>
      </w:tr>
      <w:tr>
        <w:trPr>
          <w:cantSplit/>
        </w:trPr>
        <w:tc>
          <w:tcPr>
            <w:tcW w:type="pct" w:w="1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Obligation machine</w:t>
            </w:r>
          </w:p>
        </w:tc>
        <w:tc>
          <w:tcPr>
            <w:tcW w:type="pct" w:w="3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 DAG of proven/computed/assumed statuses blocking the RH conclusion (V13)</w:t>
            </w:r>
          </w:p>
        </w:tc>
      </w:tr>
      <w:tr>
        <w:trPr>
          <w:cantSplit/>
        </w:trPr>
        <w:tc>
          <w:tcPr>
            <w:tcW w:type="pct" w:w="1400"/>
            <w:tcMar>
              <w:top w:type="dxa" w:w="60"/>
              <w:left w:type="dxa" w:w="120"/>
              <w:bottom w:type="dxa" w:w="60"/>
              <w:right w:type="dxa" w:w="120"/>
            </w:tcMar>
          </w:tcPr>
          <w:p>
            <w:pPr>
              <w:spacing w:line="276"/>
            </w:pPr>
            <w:r>
              <w:rPr>
                <w:rFonts w:ascii="Times New Roman" w:hAnsi="Times New Roman"/>
                <w:color w:val="2B2320"/>
                <w:sz w:val="18"/>
                <w:szCs w:val="18"/>
              </w:rPr>
              <w:t xml:space="preserve">Trace formula</w:t>
            </w:r>
          </w:p>
        </w:tc>
        <w:tc>
          <w:tcPr>
            <w:tcW w:type="pct" w:w="3600"/>
            <w:tcMar>
              <w:top w:type="dxa" w:w="60"/>
              <w:left w:type="dxa" w:w="120"/>
              <w:bottom w:type="dxa" w:w="60"/>
              <w:right w:type="dxa" w:w="120"/>
            </w:tcMar>
          </w:tcPr>
          <w:p>
            <w:pPr>
              <w:spacing w:line="276"/>
            </w:pPr>
            <w:r>
              <w:rPr>
                <w:rFonts w:ascii="Times New Roman" w:hAnsi="Times New Roman"/>
                <w:color w:val="2B2320"/>
                <w:sz w:val="18"/>
                <w:szCs w:val="18"/>
              </w:rPr>
              <w:t xml:space="preserve">K(x) = Tr e^(−xH_ξ); the coefficients carry Λ(n)/√n (Th6)</w:t>
            </w:r>
          </w:p>
        </w:tc>
      </w:tr>
      <w:tr>
        <w:trPr>
          <w:cantSplit/>
        </w:trPr>
        <w:tc>
          <w:tcPr>
            <w:tcW w:type="pct" w:w="1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Four-dimension tile</w:t>
            </w:r>
          </w:p>
        </w:tc>
        <w:tc>
          <w:tcPr>
            <w:tcW w:type="pct" w:w="3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 2×2 grid: metric · instances · control · threshold; 600 dpi, from verdicts</w:t>
            </w:r>
          </w:p>
        </w:tc>
      </w:tr>
      <w:tr>
        <w:trPr>
          <w:cantSplit/>
        </w:trPr>
        <w:tc>
          <w:tcPr>
            <w:tcW w:type="pct" w:w="1400"/>
            <w:tcMar>
              <w:top w:type="dxa" w:w="60"/>
              <w:left w:type="dxa" w:w="120"/>
              <w:bottom w:type="dxa" w:w="60"/>
              <w:right w:type="dxa" w:w="120"/>
            </w:tcMar>
          </w:tcPr>
          <w:p>
            <w:pPr>
              <w:spacing w:line="276"/>
            </w:pPr>
            <w:r>
              <w:rPr>
                <w:rFonts w:ascii="Times New Roman" w:hAnsi="Times New Roman"/>
                <w:color w:val="2B2320"/>
                <w:sz w:val="18"/>
                <w:szCs w:val="18"/>
              </w:rPr>
              <w:t xml:space="preserve">Blind protocol</w:t>
            </w:r>
          </w:p>
        </w:tc>
        <w:tc>
          <w:tcPr>
            <w:tcW w:type="pct" w:w="3600"/>
            <w:tcMar>
              <w:top w:type="dxa" w:w="60"/>
              <w:left w:type="dxa" w:w="120"/>
              <w:bottom w:type="dxa" w:w="60"/>
              <w:right w:type="dxa" w:w="120"/>
            </w:tcMar>
          </w:tcPr>
          <w:p>
            <w:pPr>
              <w:spacing w:line="276"/>
            </w:pPr>
            <w:r>
              <w:rPr>
                <w:rFonts w:ascii="Times New Roman" w:hAnsi="Times New Roman"/>
                <w:color w:val="2B2320"/>
                <w:sz w:val="18"/>
                <w:szCs w:val="18"/>
              </w:rPr>
              <w:t xml:space="preserve">separated detector and validator; SHA256 pin of the output before validation</w:t>
            </w:r>
          </w:p>
        </w:tc>
      </w:tr>
      <w:tr>
        <w:trPr>
          <w:cantSplit/>
        </w:trPr>
        <w:tc>
          <w:tcPr>
            <w:tcW w:type="pct" w:w="14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Flagship metric</w:t>
            </w:r>
          </w:p>
        </w:tc>
        <w:tc>
          <w:tcPr>
            <w:tcW w:type="pct" w:w="3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 metric from flagship_numbers.csv with its verdict source</w:t>
            </w:r>
          </w:p>
        </w:tc>
      </w:tr>
    </w:tbl>
    <w:p>
      <w:pPr>
        <w:spacing w:after="120"/>
      </w:pPr>
    </w:p>
    <w:p>
      <w:pPr>
        <w:pStyle w:val="Heading1"/>
        <w:spacing w:after="160" w:before="360" w:line="312"/>
      </w:pPr>
      <w:bookmarkStart w:name="_Toc200" w:id="200"/>
      <w:r>
        <w:rPr>
          <w:rFonts w:ascii="Times New Roman" w:hAnsi="Times New Roman"/>
          <w:b/>
          <w:bCs/>
          <w:color w:val="2B2320"/>
          <w:sz w:val="32"/>
          <w:szCs w:val="32"/>
        </w:rPr>
        <w:t xml:space="preserve">Appendix E. The File Map of the Program</w:t>
      </w:r>
      <w:bookmarkEnd w:id="200"/>
    </w:p>
    <w:p>
      <w:pPr>
        <w:shd w:fill="FAF6F3" w:val="clear"/>
        <w:spacing w:after="0" w:line="240"/>
        <w:ind w:left="360"/>
        <w:jc w:val="left"/>
      </w:pPr>
      <w:r>
        <w:rPr>
          <w:rFonts w:ascii="Courier New" w:hAnsi="Courier New"/>
          <w:color w:val="2B2320"/>
          <w:sz w:val="15"/>
          <w:szCs w:val="15"/>
        </w:rPr>
        <w:t xml:space="preserve">AB_Cloud_Quantum_Research/</w:t>
      </w:r>
    </w:p>
    <w:p>
      <w:pPr>
        <w:shd w:fill="FAF6F3" w:val="clear"/>
        <w:spacing w:after="0" w:line="240"/>
        <w:ind w:left="360"/>
        <w:jc w:val="left"/>
      </w:pPr>
      <w:r>
        <w:rPr>
          <w:rFonts w:ascii="Courier New" w:hAnsi="Courier New"/>
          <w:color w:val="2B2320"/>
          <w:sz w:val="15"/>
          <w:szCs w:val="15"/>
        </w:rPr>
        <w:t xml:space="preserve">├── modules/</w:t>
      </w:r>
    </w:p>
    <w:p>
      <w:pPr>
        <w:shd w:fill="FAF6F3" w:val="clear"/>
        <w:spacing w:after="0" w:line="240"/>
        <w:ind w:left="360"/>
        <w:jc w:val="left"/>
      </w:pPr>
      <w:r>
        <w:rPr>
          <w:rFonts w:ascii="Courier New" w:hAnsi="Courier New"/>
          <w:color w:val="2B2320"/>
          <w:sz w:val="15"/>
          <w:szCs w:val="15"/>
        </w:rPr>
        <w:t xml:space="preserve">|   ├── core_spectrum/        core: campaigns V01-V19, Th1-Th6, V13, web lab</w:t>
      </w:r>
    </w:p>
    <w:p>
      <w:pPr>
        <w:shd w:fill="FAF6F3" w:val="clear"/>
        <w:spacing w:after="0" w:line="240"/>
        <w:ind w:left="360"/>
        <w:jc w:val="left"/>
      </w:pPr>
      <w:r>
        <w:rPr>
          <w:rFonts w:ascii="Courier New" w:hAnsi="Courier New"/>
          <w:color w:val="2B2320"/>
          <w:sz w:val="15"/>
          <w:szCs w:val="15"/>
        </w:rPr>
        <w:t xml:space="preserve">|   ├── processor_ab/         processor: V20 (P0), ISA, compiler, web lab</w:t>
      </w:r>
    </w:p>
    <w:p>
      <w:pPr>
        <w:shd w:fill="FAF6F3" w:val="clear"/>
        <w:spacing w:after="0" w:line="240"/>
        <w:ind w:left="360"/>
        <w:jc w:val="left"/>
      </w:pPr>
      <w:r>
        <w:rPr>
          <w:rFonts w:ascii="Courier New" w:hAnsi="Courier New"/>
          <w:color w:val="2B2320"/>
          <w:sz w:val="15"/>
          <w:szCs w:val="15"/>
        </w:rPr>
        <w:t xml:space="preserve">|   └── verifier_multilang/   verification: E01-E18 (Julia), blind protocols</w:t>
      </w:r>
    </w:p>
    <w:p>
      <w:pPr>
        <w:shd w:fill="FAF6F3" w:val="clear"/>
        <w:spacing w:after="0" w:line="240"/>
        <w:ind w:left="360"/>
        <w:jc w:val="left"/>
      </w:pPr>
      <w:r>
        <w:rPr>
          <w:rFonts w:ascii="Courier New" w:hAnsi="Courier New"/>
          <w:color w:val="2B2320"/>
          <w:sz w:val="15"/>
          <w:szCs w:val="15"/>
        </w:rPr>
        <w:t xml:space="preserve">├── research/realtime_spinor_memory/   spinor: ES1-ES5, TS1-TS3</w:t>
      </w:r>
    </w:p>
    <w:p>
      <w:pPr>
        <w:shd w:fill="FAF6F3" w:val="clear"/>
        <w:spacing w:after="0" w:line="240"/>
        <w:ind w:left="360"/>
        <w:jc w:val="left"/>
      </w:pPr>
      <w:r>
        <w:rPr>
          <w:rFonts w:ascii="Courier New" w:hAnsi="Courier New"/>
          <w:color w:val="2B2320"/>
          <w:sz w:val="15"/>
          <w:szCs w:val="15"/>
        </w:rPr>
        <w:t xml:space="preserve">├── theorems_lemmas/          Th1-Th6: 24 documents + 12 tiles</w:t>
      </w:r>
    </w:p>
    <w:p>
      <w:pPr>
        <w:shd w:fill="FAF6F3" w:val="clear"/>
        <w:spacing w:after="0" w:line="240"/>
        <w:ind w:left="360"/>
        <w:jc w:val="left"/>
      </w:pPr>
      <w:r>
        <w:rPr>
          <w:rFonts w:ascii="Courier New" w:hAnsi="Courier New"/>
          <w:color w:val="2B2320"/>
          <w:sz w:val="15"/>
          <w:szCs w:val="15"/>
        </w:rPr>
        <w:t xml:space="preserve">├── figures_tiled/  atlas/  timeline/  datasets/   derived artifacts</w:t>
      </w:r>
    </w:p>
    <w:p>
      <w:pPr>
        <w:shd w:fill="FAF6F3" w:val="clear"/>
        <w:spacing w:after="0" w:line="240"/>
        <w:ind w:left="360"/>
        <w:jc w:val="left"/>
      </w:pPr>
      <w:r>
        <w:rPr>
          <w:rFonts w:ascii="Courier New" w:hAnsi="Courier New"/>
          <w:color w:val="2B2320"/>
          <w:sz w:val="15"/>
          <w:szCs w:val="15"/>
        </w:rPr>
        <w:t xml:space="preserve">├── whitepaper/  glossary/  formal/  web_lab/  docs/</w:t>
      </w:r>
    </w:p>
    <w:p>
      <w:pPr>
        <w:shd w:fill="FAF6F3" w:val="clear"/>
        <w:spacing w:after="0" w:line="240"/>
        <w:ind w:left="360"/>
        <w:jc w:val="left"/>
      </w:pPr>
      <w:r>
        <w:rPr>
          <w:rFonts w:ascii="Courier New" w:hAnsi="Courier New"/>
          <w:color w:val="2B2320"/>
          <w:sz w:val="15"/>
          <w:szCs w:val="15"/>
        </w:rPr>
        <w:t xml:space="preserve">├── MONOGRAPH_ARCHIVE/        monographs: main RU/EN x DOCX/PDF + LaTeX,</w:t>
      </w:r>
    </w:p>
    <w:p>
      <w:pPr>
        <w:shd w:fill="FAF6F3" w:val="clear"/>
        <w:spacing w:after="0" w:line="240"/>
        <w:ind w:left="360"/>
        <w:jc w:val="left"/>
      </w:pPr>
      <w:r>
        <w:rPr>
          <w:rFonts w:ascii="Courier New" w:hAnsi="Courier New"/>
          <w:color w:val="2B2320"/>
          <w:sz w:val="15"/>
          <w:szCs w:val="15"/>
        </w:rPr>
        <w:t xml:space="preserve">|                             4 level research programs</w:t>
      </w:r>
    </w:p>
    <w:p>
      <w:pPr>
        <w:shd w:fill="FAF6F3" w:val="clear"/>
        <w:spacing w:after="0" w:line="240"/>
        <w:ind w:left="360"/>
        <w:jc w:val="left"/>
      </w:pPr>
      <w:r>
        <w:rPr>
          <w:rFonts w:ascii="Courier New" w:hAnsi="Courier New"/>
          <w:color w:val="2B2320"/>
          <w:sz w:val="15"/>
          <w:szCs w:val="15"/>
        </w:rPr>
        <w:t xml:space="preserve">├── HYPOTHESIS_LAB/           hypothesis laboratory: CLI + browser</w:t>
      </w:r>
    </w:p>
    <w:p>
      <w:pPr>
        <w:shd w:fill="FAF6F3" w:val="clear"/>
        <w:spacing w:after="0" w:line="240"/>
        <w:ind w:left="360"/>
        <w:jc w:val="left"/>
      </w:pPr>
      <w:r>
        <w:rPr>
          <w:rFonts w:ascii="Courier New" w:hAnsi="Courier New"/>
          <w:color w:val="2B2320"/>
          <w:sz w:val="15"/>
          <w:szCs w:val="15"/>
        </w:rPr>
        <w:t xml:space="preserve">├── VISUAL_ANIMATIONS/        visual animations: GIF + SVG + HTML</w:t>
      </w:r>
    </w:p>
    <w:p>
      <w:pPr>
        <w:shd w:fill="FAF6F3" w:val="clear"/>
        <w:spacing w:after="140" w:line="240"/>
        <w:ind w:left="360"/>
        <w:jc w:val="left"/>
      </w:pPr>
      <w:r>
        <w:rPr>
          <w:rFonts w:ascii="Courier New" w:hAnsi="Courier New"/>
          <w:color w:val="2B2320"/>
          <w:sz w:val="15"/>
          <w:szCs w:val="15"/>
        </w:rPr>
        <w:t xml:space="preserve">└── scripts/  tests/  assets/  CHANGELOG.md  CITATION.cff  Makefile</w:t>
      </w:r>
    </w:p>
    <w:p>
      <w:pPr>
        <w:pStyle w:val="Heading1"/>
        <w:spacing w:after="160" w:before="360" w:line="312"/>
      </w:pPr>
      <w:bookmarkStart w:name="_Toc201" w:id="201"/>
      <w:r>
        <w:rPr>
          <w:rFonts w:ascii="Times New Roman" w:hAnsi="Times New Roman"/>
          <w:b/>
          <w:bCs/>
          <w:color w:val="2B2320"/>
          <w:sz w:val="32"/>
          <w:szCs w:val="32"/>
        </w:rPr>
        <w:t xml:space="preserve">Appendix F. Citation and License</w:t>
      </w:r>
      <w:bookmarkEnd w:id="201"/>
    </w:p>
    <w:p>
      <w:pPr>
        <w:spacing w:after="120" w:line="312"/>
        <w:jc w:val="both"/>
      </w:pPr>
      <w:r>
        <w:rPr>
          <w:rFonts w:ascii="Times New Roman" w:hAnsi="Times New Roman"/>
          <w:color w:val="2B2320"/>
          <w:sz w:val="22"/>
          <w:szCs w:val="22"/>
        </w:rPr>
        <w:t xml:space="preserve">The program is cited via CITATION.cff; below is the BibTeX record of the main version.</w:t>
      </w:r>
    </w:p>
    <w:p>
      <w:pPr>
        <w:shd w:fill="FAF6F3" w:val="clear"/>
        <w:spacing w:after="0" w:line="240"/>
        <w:ind w:left="360"/>
        <w:jc w:val="left"/>
      </w:pPr>
      <w:r>
        <w:rPr>
          <w:rFonts w:ascii="Courier New" w:hAnsi="Courier New"/>
          <w:color w:val="2B2320"/>
          <w:sz w:val="15"/>
          <w:szCs w:val="15"/>
        </w:rPr>
        <w:t xml:space="preserve">@misc{ab_cloud_quantum_research_2026,</w:t>
      </w:r>
    </w:p>
    <w:p>
      <w:pPr>
        <w:shd w:fill="FAF6F3" w:val="clear"/>
        <w:spacing w:after="0" w:line="240"/>
        <w:ind w:left="360"/>
        <w:jc w:val="left"/>
      </w:pPr>
      <w:r>
        <w:rPr>
          <w:rFonts w:ascii="Courier New" w:hAnsi="Courier New"/>
          <w:color w:val="2B2320"/>
          <w:sz w:val="15"/>
          <w:szCs w:val="15"/>
        </w:rPr>
        <w:t xml:space="preserve">  title  = {AB Cloud Quantum Research: an AB (Aharonov--Bohm) algebraic</w:t>
      </w:r>
    </w:p>
    <w:p>
      <w:pPr>
        <w:shd w:fill="FAF6F3" w:val="clear"/>
        <w:spacing w:after="0" w:line="240"/>
        <w:ind w:left="360"/>
        <w:jc w:val="left"/>
      </w:pPr>
      <w:r>
        <w:rPr>
          <w:rFonts w:ascii="Courier New" w:hAnsi="Courier New"/>
          <w:color w:val="2B2320"/>
          <w:sz w:val="15"/>
          <w:szCs w:val="15"/>
        </w:rPr>
        <w:t xml:space="preserve">            architecture that reads mathematics in real time and stores</w:t>
      </w:r>
    </w:p>
    <w:p>
      <w:pPr>
        <w:shd w:fill="FAF6F3" w:val="clear"/>
        <w:spacing w:after="0" w:line="240"/>
        <w:ind w:left="360"/>
        <w:jc w:val="left"/>
      </w:pPr>
      <w:r>
        <w:rPr>
          <w:rFonts w:ascii="Courier New" w:hAnsi="Courier New"/>
          <w:color w:val="2B2320"/>
          <w:sz w:val="15"/>
          <w:szCs w:val="15"/>
        </w:rPr>
        <w:t xml:space="preserve">            nothing},</w:t>
      </w:r>
    </w:p>
    <w:p>
      <w:pPr>
        <w:shd w:fill="FAF6F3" w:val="clear"/>
        <w:spacing w:after="0" w:line="240"/>
        <w:ind w:left="360"/>
        <w:jc w:val="left"/>
      </w:pPr>
      <w:r>
        <w:rPr>
          <w:rFonts w:ascii="Courier New" w:hAnsi="Courier New"/>
          <w:color w:val="2B2320"/>
          <w:sz w:val="15"/>
          <w:szCs w:val="15"/>
        </w:rPr>
        <w:t xml:space="preserve">  author = {AB Cloud Quantum Research},</w:t>
      </w:r>
    </w:p>
    <w:p>
      <w:pPr>
        <w:shd w:fill="FAF6F3" w:val="clear"/>
        <w:spacing w:after="0" w:line="240"/>
        <w:ind w:left="360"/>
        <w:jc w:val="left"/>
      </w:pPr>
      <w:r>
        <w:rPr>
          <w:rFonts w:ascii="Courier New" w:hAnsi="Courier New"/>
          <w:color w:val="2B2320"/>
          <w:sz w:val="15"/>
          <w:szCs w:val="15"/>
        </w:rPr>
        <w:t xml:space="preserve">  year   = {2026},</w:t>
      </w:r>
    </w:p>
    <w:p>
      <w:pPr>
        <w:shd w:fill="FAF6F3" w:val="clear"/>
        <w:spacing w:after="0" w:line="240"/>
        <w:ind w:left="360"/>
        <w:jc w:val="left"/>
      </w:pPr>
      <w:r>
        <w:rPr>
          <w:rFonts w:ascii="Courier New" w:hAnsi="Courier New"/>
          <w:color w:val="2B2320"/>
          <w:sz w:val="15"/>
          <w:szCs w:val="15"/>
        </w:rPr>
        <w:t xml:space="preserve">  version= {1.0.0},</w:t>
      </w:r>
    </w:p>
    <w:p>
      <w:pPr>
        <w:shd w:fill="FAF6F3" w:val="clear"/>
        <w:spacing w:after="0" w:line="240"/>
        <w:ind w:left="360"/>
        <w:jc w:val="left"/>
      </w:pPr>
      <w:r>
        <w:rPr>
          <w:rFonts w:ascii="Courier New" w:hAnsi="Courier New"/>
          <w:color w:val="2B2320"/>
          <w:sz w:val="15"/>
          <w:szCs w:val="15"/>
        </w:rPr>
        <w:t xml:space="preserve">  url    = {https://github.com/wild8highlander/ab-cloud-research}</w:t>
      </w:r>
    </w:p>
    <w:p>
      <w:pPr>
        <w:shd w:fill="FAF6F3" w:val="clear"/>
        <w:spacing w:after="140" w:line="240"/>
        <w:ind w:left="360"/>
        <w:jc w:val="left"/>
      </w:pPr>
      <w:r>
        <w:rPr>
          <w:rFonts w:ascii="Courier New" w:hAnsi="Courier New"/>
          <w:color w:val="2B2320"/>
          <w:sz w:val="15"/>
          <w:szCs w:val="15"/>
        </w:rPr>
        <w:t xml:space="preserve">}</w:t>
      </w:r>
    </w:p>
    <w:p>
      <w:pPr>
        <w:spacing w:after="120" w:line="312"/>
        <w:jc w:val="both"/>
      </w:pPr>
      <w:r>
        <w:rPr>
          <w:rFonts w:ascii="Times New Roman" w:hAnsi="Times New Roman"/>
          <w:b/>
          <w:bCs/>
          <w:color w:val="2B2320"/>
          <w:sz w:val="22"/>
          <w:szCs w:val="22"/>
        </w:rPr>
        <w:t xml:space="preserve">License.</w:t>
      </w:r>
      <w:r>
        <w:rPr>
          <w:rFonts w:ascii="Times New Roman" w:hAnsi="Times New Roman"/>
          <w:color w:val="2B2320"/>
          <w:sz w:val="22"/>
          <w:szCs w:val="22"/>
        </w:rPr>
        <w:t xml:space="preserve"> All materials are distributed under the individual proprietary license of the author: © 2026 Isaev Iskhak Khamzatovich, ORCID 0009-0003-7299-0701. Viewing, cloning for private non-commercial study, running the code for scholarly purposes and citing with attribution and DOI 10.5281/zenodo.21825394 are permitted. Republication, adaptation and commercial use — only with the written consent of the author. The full text — the LICENSE file at the repository root and in every new program folder (MONOGRAPH_ARCHIVE, HYPOTHESIS_LAB, VISUAL_ANIMATIONS).</w:t>
      </w:r>
    </w:p>
    <w:p>
      <w:pPr>
        <w:pStyle w:val="Heading1"/>
        <w:spacing w:after="160" w:before="360" w:line="312"/>
      </w:pPr>
      <w:bookmarkStart w:name="_Toc202" w:id="202"/>
      <w:r>
        <w:rPr>
          <w:rFonts w:ascii="Times New Roman" w:hAnsi="Times New Roman"/>
          <w:b/>
          <w:bCs/>
          <w:color w:val="2B2320"/>
          <w:sz w:val="32"/>
          <w:szCs w:val="32"/>
        </w:rPr>
        <w:t xml:space="preserve">Appendix G. Integrity: Pins and Checks</w:t>
      </w:r>
      <w:bookmarkEnd w:id="202"/>
    </w:p>
    <w:p>
      <w:pPr>
        <w:spacing w:after="120" w:line="312"/>
        <w:jc w:val="both"/>
      </w:pPr>
      <w:r>
        <w:rPr>
          <w:rFonts w:ascii="Times New Roman" w:hAnsi="Times New Roman"/>
          <w:color w:val="2B2320"/>
          <w:sz w:val="22"/>
          <w:szCs w:val="22"/>
        </w:rPr>
        <w:t xml:space="preserve">Package integrity is automatic. The script scripts/validate_package.py performs more than 95 checks; the key pins of the program are listed below (all SHA256, fixed before validation).</w:t>
      </w:r>
    </w:p>
    <w:p>
      <w:pPr>
        <w:keepNext/>
        <w:spacing w:after="80" w:before="160"/>
        <w:jc w:val="center"/>
      </w:pPr>
      <w:r>
        <w:rPr>
          <w:rFonts w:ascii="Times New Roman" w:hAnsi="Times New Roman"/>
          <w:b/>
          <w:bCs/>
          <w:color w:val="7A5C48"/>
          <w:sz w:val="19"/>
          <w:szCs w:val="19"/>
        </w:rPr>
        <w:t xml:space="preserve">Table G.1. Key SHA256 pins of the program</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3971"/>
        <w:gridCol w:w="5055"/>
      </w:tblGrid>
      <w:tr>
        <w:trPr>
          <w:cantSplit/>
          <w:tblHeader/>
        </w:trPr>
        <w:tc>
          <w:tcPr>
            <w:tcW w:type="pct" w:w="22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File</w:t>
            </w:r>
          </w:p>
        </w:tc>
        <w:tc>
          <w:tcPr>
            <w:tcW w:type="pct" w:w="28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Purpose</w:t>
            </w:r>
          </w:p>
        </w:tc>
      </w:tr>
      <w:tr>
        <w:trPr>
          <w:cantSplit/>
        </w:trPr>
        <w:tc>
          <w:tcPr>
            <w:tcW w:type="pct" w:w="2200"/>
            <w:tcMar>
              <w:top w:type="dxa" w:w="60"/>
              <w:left w:type="dxa" w:w="120"/>
              <w:bottom w:type="dxa" w:w="60"/>
              <w:right w:type="dxa" w:w="120"/>
            </w:tcMar>
          </w:tcPr>
          <w:p>
            <w:pPr>
              <w:spacing w:line="276"/>
            </w:pPr>
            <w:r>
              <w:rPr>
                <w:rFonts w:ascii="Times New Roman" w:hAnsi="Times New Roman"/>
                <w:color w:val="2B2320"/>
                <w:sz w:val="18"/>
                <w:szCs w:val="18"/>
              </w:rPr>
              <w:t xml:space="preserve">e17_detector_em.csv</w:t>
            </w:r>
          </w:p>
        </w:tc>
        <w:tc>
          <w:tcPr>
            <w:tcW w:type="pct" w:w="2800"/>
            <w:tcMar>
              <w:top w:type="dxa" w:w="60"/>
              <w:left w:type="dxa" w:w="120"/>
              <w:bottom w:type="dxa" w:w="60"/>
              <w:right w:type="dxa" w:w="120"/>
            </w:tcMar>
          </w:tcPr>
          <w:p>
            <w:pPr>
              <w:spacing w:line="276"/>
            </w:pPr>
            <w:r>
              <w:rPr>
                <w:rFonts w:ascii="Times New Roman" w:hAnsi="Times New Roman"/>
                <w:color w:val="2B2320"/>
                <w:sz w:val="18"/>
                <w:szCs w:val="18"/>
              </w:rPr>
              <w:t xml:space="preserve">the EM detector output (blind reading E17)</w:t>
            </w:r>
          </w:p>
        </w:tc>
      </w:tr>
      <w:tr>
        <w:trPr>
          <w:cantSplit/>
        </w:trPr>
        <w:tc>
          <w:tcPr>
            <w:tcW w:type="pct" w:w="2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e17_detector_rs.csv</w:t>
            </w:r>
          </w:p>
        </w:tc>
        <w:tc>
          <w:tcPr>
            <w:tcW w:type="pct" w:w="2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Riemann–Siegel detector output (E17)</w:t>
            </w:r>
          </w:p>
        </w:tc>
      </w:tr>
      <w:tr>
        <w:trPr>
          <w:cantSplit/>
        </w:trPr>
        <w:tc>
          <w:tcPr>
            <w:tcW w:type="pct" w:w="2200"/>
            <w:tcMar>
              <w:top w:type="dxa" w:w="60"/>
              <w:left w:type="dxa" w:w="120"/>
              <w:bottom w:type="dxa" w:w="60"/>
              <w:right w:type="dxa" w:w="120"/>
            </w:tcMar>
          </w:tcPr>
          <w:p>
            <w:pPr>
              <w:spacing w:line="276"/>
            </w:pPr>
            <w:r>
              <w:rPr>
                <w:rFonts w:ascii="Times New Roman" w:hAnsi="Times New Roman"/>
                <w:color w:val="2B2320"/>
                <w:sz w:val="18"/>
                <w:szCs w:val="18"/>
              </w:rPr>
              <w:t xml:space="preserve">e17_zetazero_reference.csv</w:t>
            </w:r>
          </w:p>
        </w:tc>
        <w:tc>
          <w:tcPr>
            <w:tcW w:type="pct" w:w="2800"/>
            <w:tcMar>
              <w:top w:type="dxa" w:w="60"/>
              <w:left w:type="dxa" w:w="120"/>
              <w:bottom w:type="dxa" w:w="60"/>
              <w:right w:type="dxa" w:w="120"/>
            </w:tcMar>
          </w:tcPr>
          <w:p>
            <w:pPr>
              <w:spacing w:line="276"/>
            </w:pPr>
            <w:r>
              <w:rPr>
                <w:rFonts w:ascii="Times New Roman" w:hAnsi="Times New Roman"/>
                <w:color w:val="2B2320"/>
                <w:sz w:val="18"/>
                <w:szCs w:val="18"/>
              </w:rPr>
              <w:t xml:space="preserve">the blind reference: 660 ordinates, 0 &lt; γ ≤ 1000</w:t>
            </w:r>
          </w:p>
        </w:tc>
      </w:tr>
      <w:tr>
        <w:trPr>
          <w:cantSplit/>
        </w:trPr>
        <w:tc>
          <w:tcPr>
            <w:tcW w:type="pct" w:w="2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e11_detector_output.csv</w:t>
            </w:r>
          </w:p>
        </w:tc>
        <w:tc>
          <w:tcPr>
            <w:tcW w:type="pct" w:w="28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E11 detector output</w:t>
            </w:r>
          </w:p>
        </w:tc>
      </w:tr>
      <w:tr>
        <w:trPr>
          <w:cantSplit/>
        </w:trPr>
        <w:tc>
          <w:tcPr>
            <w:tcW w:type="pct" w:w="2200"/>
            <w:tcMar>
              <w:top w:type="dxa" w:w="60"/>
              <w:left w:type="dxa" w:w="120"/>
              <w:bottom w:type="dxa" w:w="60"/>
              <w:right w:type="dxa" w:w="120"/>
            </w:tcMar>
          </w:tcPr>
          <w:p>
            <w:pPr>
              <w:spacing w:line="276"/>
            </w:pPr>
            <w:r>
              <w:rPr>
                <w:rFonts w:ascii="Times New Roman" w:hAnsi="Times New Roman"/>
                <w:color w:val="2B2320"/>
                <w:sz w:val="18"/>
                <w:szCs w:val="18"/>
              </w:rPr>
              <w:t xml:space="preserve">e17_detector_em_sha256.txt / e17_detector_rs_sha256.txt</w:t>
            </w:r>
          </w:p>
        </w:tc>
        <w:tc>
          <w:tcPr>
            <w:tcW w:type="pct" w:w="2800"/>
            <w:tcMar>
              <w:top w:type="dxa" w:w="60"/>
              <w:left w:type="dxa" w:w="120"/>
              <w:bottom w:type="dxa" w:w="60"/>
              <w:right w:type="dxa" w:w="120"/>
            </w:tcMar>
          </w:tcPr>
          <w:p>
            <w:pPr>
              <w:spacing w:line="276"/>
            </w:pPr>
            <w:r>
              <w:rPr>
                <w:rFonts w:ascii="Times New Roman" w:hAnsi="Times New Roman"/>
                <w:color w:val="2B2320"/>
                <w:sz w:val="18"/>
                <w:szCs w:val="18"/>
              </w:rPr>
              <w:t xml:space="preserve">the pin files</w:t>
            </w:r>
          </w:p>
        </w:tc>
      </w:tr>
    </w:tbl>
    <w:p>
      <w:pPr>
        <w:spacing w:after="120"/>
      </w:pPr>
    </w:p>
    <w:p>
      <w:pPr>
        <w:spacing w:after="120" w:line="312"/>
        <w:jc w:val="both"/>
      </w:pPr>
      <w:r>
        <w:rPr>
          <w:rFonts w:ascii="Times New Roman" w:hAnsi="Times New Roman"/>
          <w:color w:val="2B2320"/>
          <w:sz w:val="22"/>
          <w:szCs w:val="22"/>
        </w:rPr>
        <w:t xml:space="preserve">The full pin table is maintained in the results/ of the verification platform; the core and the processor pin the outputs of V01, the V23 preview and the ES campaigns in their data/ directories. Rebuilding any derived artifact is checked by the package validator: a hash or counter mismatch stops the build.</w:t>
      </w:r>
    </w:p>
    <w:p>
      <w:pPr>
        <w:pStyle w:val="Heading1"/>
        <w:spacing w:after="160" w:before="360" w:line="312"/>
      </w:pPr>
      <w:bookmarkStart w:name="_Toc203" w:id="203"/>
      <w:r>
        <w:rPr>
          <w:rFonts w:ascii="Times New Roman" w:hAnsi="Times New Roman"/>
          <w:b/>
          <w:bCs/>
          <w:color w:val="2B2320"/>
          <w:sz w:val="32"/>
          <w:szCs w:val="32"/>
        </w:rPr>
        <w:t xml:space="preserve">Appendix H. The Full Glossary</w:t>
      </w:r>
      <w:bookmarkEnd w:id="203"/>
    </w:p>
    <w:p>
      <w:pPr>
        <w:keepNext/>
        <w:spacing w:after="80" w:before="160"/>
        <w:jc w:val="center"/>
      </w:pPr>
      <w:r>
        <w:rPr>
          <w:rFonts w:ascii="Times New Roman" w:hAnsi="Times New Roman"/>
          <w:b/>
          <w:bCs/>
          <w:color w:val="7A5C48"/>
          <w:sz w:val="19"/>
          <w:szCs w:val="19"/>
        </w:rPr>
        <w:t xml:space="preserve">Table H.1. The program glossary</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2347"/>
        <w:gridCol w:w="6679"/>
      </w:tblGrid>
      <w:tr>
        <w:trPr>
          <w:cantSplit/>
          <w:tblHeader/>
        </w:trPr>
        <w:tc>
          <w:tcPr>
            <w:tcW w:type="pct" w:w="13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Term</w:t>
            </w:r>
          </w:p>
        </w:tc>
        <w:tc>
          <w:tcPr>
            <w:tcW w:type="pct" w:w="37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Definition</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AB cloud</w:t>
            </w:r>
          </w:p>
        </w:tc>
        <w:tc>
          <w:tcPr>
            <w:tcW w:type="pct" w:w="3700"/>
            <w:tcMar>
              <w:top w:type="dxa" w:w="60"/>
              <w:left w:type="dxa" w:w="120"/>
              <w:bottom w:type="dxa" w:w="60"/>
              <w:right w:type="dxa" w:w="120"/>
            </w:tcMar>
          </w:tcPr>
          <w:p>
            <w:pPr>
              <w:spacing w:line="276"/>
            </w:pPr>
            <w:r>
              <w:rPr>
                <w:rFonts w:ascii="Times New Roman" w:hAnsi="Times New Roman"/>
                <w:color w:val="2B2320"/>
                <w:sz w:val="18"/>
                <w:szCs w:val="18"/>
              </w:rPr>
              <w:t xml:space="preserve">the elementary unitary operation of the ISA: a ring of phases with an Aharonov–Bohm flux</w:t>
            </w:r>
          </w:p>
        </w:tc>
      </w:tr>
      <w:tr>
        <w:trPr>
          <w:cantSplit/>
        </w:trPr>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ALU (V22)</w:t>
            </w:r>
          </w:p>
        </w:tc>
        <w:tc>
          <w:tcPr>
            <w:tcW w:type="pct" w:w="3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arithmetic-logic unit of AB clouds — processor stage P2</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Flagship atlas</w:t>
            </w:r>
          </w:p>
        </w:tc>
        <w:tc>
          <w:tcPr>
            <w:tcW w:type="pct" w:w="3700"/>
            <w:tcMar>
              <w:top w:type="dxa" w:w="60"/>
              <w:left w:type="dxa" w:w="120"/>
              <w:bottom w:type="dxa" w:w="60"/>
              <w:right w:type="dxa" w:w="120"/>
            </w:tcMar>
          </w:tcPr>
          <w:p>
            <w:pPr>
              <w:spacing w:line="276"/>
            </w:pPr>
            <w:r>
              <w:rPr>
                <w:rFonts w:ascii="Times New Roman" w:hAnsi="Times New Roman"/>
                <w:color w:val="2B2320"/>
                <w:sz w:val="18"/>
                <w:szCs w:val="18"/>
              </w:rPr>
              <w:t xml:space="preserve">a 2×2 tile: blind zeros · compiler · trace–primes · CHSH</w:t>
            </w:r>
          </w:p>
        </w:tc>
      </w:tr>
      <w:tr>
        <w:trPr>
          <w:cantSplit/>
        </w:trPr>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Validator</w:t>
            </w:r>
          </w:p>
        </w:tc>
        <w:tc>
          <w:tcPr>
            <w:tcW w:type="pct" w:w="3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blind-protocol role: compares the pinned output with the reference</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Verdict</w:t>
            </w:r>
          </w:p>
        </w:tc>
        <w:tc>
          <w:tcPr>
            <w:tcW w:type="pct" w:w="3700"/>
            <w:tcMar>
              <w:top w:type="dxa" w:w="60"/>
              <w:left w:type="dxa" w:w="120"/>
              <w:bottom w:type="dxa" w:w="60"/>
              <w:right w:type="dxa" w:w="120"/>
            </w:tcMar>
          </w:tcPr>
          <w:p>
            <w:pPr>
              <w:spacing w:line="276"/>
            </w:pPr>
            <w:r>
              <w:rPr>
                <w:rFonts w:ascii="Times New Roman" w:hAnsi="Times New Roman"/>
                <w:color w:val="2B2320"/>
                <w:sz w:val="18"/>
                <w:szCs w:val="18"/>
              </w:rPr>
              <w:t xml:space="preserve">the campaign JSON file: metrics, thresholds, status, does_not_prove</w:t>
            </w:r>
          </w:p>
        </w:tc>
      </w:tr>
      <w:tr>
        <w:trPr>
          <w:cantSplit/>
        </w:trPr>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Givens–QR</w:t>
            </w:r>
          </w:p>
        </w:tc>
        <w:tc>
          <w:tcPr>
            <w:tcW w:type="pct" w:w="3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decomposition of a unitary matrix into planar rotations (the basis of the V20 compiler)</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Detector</w:t>
            </w:r>
          </w:p>
        </w:tc>
        <w:tc>
          <w:tcPr>
            <w:tcW w:type="pct" w:w="3700"/>
            <w:tcMar>
              <w:top w:type="dxa" w:w="60"/>
              <w:left w:type="dxa" w:w="120"/>
              <w:bottom w:type="dxa" w:w="60"/>
              <w:right w:type="dxa" w:w="120"/>
            </w:tcMar>
          </w:tcPr>
          <w:p>
            <w:pPr>
              <w:spacing w:line="276"/>
            </w:pPr>
            <w:r>
              <w:rPr>
                <w:rFonts w:ascii="Times New Roman" w:hAnsi="Times New Roman"/>
                <w:color w:val="2B2320"/>
                <w:sz w:val="18"/>
                <w:szCs w:val="18"/>
              </w:rPr>
              <w:t xml:space="preserve">the blind-protocol role: produces the output without access to the reference</w:t>
            </w:r>
          </w:p>
        </w:tc>
      </w:tr>
      <w:tr>
        <w:trPr>
          <w:cantSplit/>
        </w:trPr>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Silence zone σ*</w:t>
            </w:r>
          </w:p>
        </w:tc>
        <w:tc>
          <w:tcPr>
            <w:tcW w:type="pct" w:w="3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maximal phase noise that does not break the cycle count</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Kato corridor</w:t>
            </w:r>
          </w:p>
        </w:tc>
        <w:tc>
          <w:tcPr>
            <w:tcW w:type="pct" w:w="3700"/>
            <w:tcMar>
              <w:top w:type="dxa" w:w="60"/>
              <w:left w:type="dxa" w:w="120"/>
              <w:bottom w:type="dxa" w:w="60"/>
              <w:right w:type="dxa" w:w="120"/>
            </w:tcMar>
          </w:tcPr>
          <w:p>
            <w:pPr>
              <w:spacing w:line="276"/>
            </w:pPr>
            <w:r>
              <w:rPr>
                <w:rFonts w:ascii="Times New Roman" w:hAnsi="Times New Roman"/>
                <w:color w:val="2B2320"/>
                <w:sz w:val="18"/>
                <w:szCs w:val="18"/>
              </w:rPr>
              <w:t xml:space="preserve">the eigenvalue error estimate δ²/gap (Th3)</w:t>
            </w:r>
          </w:p>
        </w:tc>
      </w:tr>
      <w:tr>
        <w:trPr>
          <w:cantSplit/>
        </w:trPr>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Obligation machine</w:t>
            </w:r>
          </w:p>
        </w:tc>
        <w:tc>
          <w:tcPr>
            <w:tcW w:type="pct" w:w="3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 DAG of proven/computed/assumed statuses blocking the RH conclusion (V13)</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Null model</w:t>
            </w:r>
          </w:p>
        </w:tc>
        <w:tc>
          <w:tcPr>
            <w:tcW w:type="pct" w:w="3700"/>
            <w:tcMar>
              <w:top w:type="dxa" w:w="60"/>
              <w:left w:type="dxa" w:w="120"/>
              <w:bottom w:type="dxa" w:w="60"/>
              <w:right w:type="dxa" w:w="120"/>
            </w:tcMar>
          </w:tcPr>
          <w:p>
            <w:pPr>
              <w:spacing w:line="276"/>
            </w:pPr>
            <w:r>
              <w:rPr>
                <w:rFonts w:ascii="Times New Roman" w:hAnsi="Times New Roman"/>
                <w:color w:val="2B2320"/>
                <w:sz w:val="18"/>
                <w:szCs w:val="18"/>
              </w:rPr>
              <w:t xml:space="preserve">a control model without arithmetic (random phases, lattice)</w:t>
            </w:r>
          </w:p>
        </w:tc>
      </w:tr>
      <w:tr>
        <w:trPr>
          <w:cantSplit/>
        </w:trPr>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Four-dimension tile</w:t>
            </w:r>
          </w:p>
        </w:tc>
        <w:tc>
          <w:tcPr>
            <w:tcW w:type="pct" w:w="3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 2×2 grid: metric · instances · control · threshold; 600 dpi</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Pre-registration</w:t>
            </w:r>
          </w:p>
        </w:tc>
        <w:tc>
          <w:tcPr>
            <w:tcW w:type="pct" w:w="3700"/>
            <w:tcMar>
              <w:top w:type="dxa" w:w="60"/>
              <w:left w:type="dxa" w:w="120"/>
              <w:bottom w:type="dxa" w:w="60"/>
              <w:right w:type="dxa" w:w="120"/>
            </w:tcMar>
          </w:tcPr>
          <w:p>
            <w:pPr>
              <w:spacing w:line="276"/>
            </w:pPr>
            <w:r>
              <w:rPr>
                <w:rFonts w:ascii="Times New Roman" w:hAnsi="Times New Roman"/>
                <w:color w:val="2B2320"/>
                <w:sz w:val="18"/>
                <w:szCs w:val="18"/>
              </w:rPr>
              <w:t xml:space="preserve">fixing thresholds before the run; the pre_registered field of the verdict</w:t>
            </w:r>
          </w:p>
        </w:tc>
      </w:tr>
      <w:tr>
        <w:trPr>
          <w:cantSplit/>
        </w:trPr>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Pin (SHA256)</w:t>
            </w:r>
          </w:p>
        </w:tc>
        <w:tc>
          <w:tcPr>
            <w:tcW w:type="pct" w:w="3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cryptographic fixing of the output before validation</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Riemann–Siegel</w:t>
            </w:r>
          </w:p>
        </w:tc>
        <w:tc>
          <w:tcPr>
            <w:tcW w:type="pct" w:w="3700"/>
            <w:tcMar>
              <w:top w:type="dxa" w:w="60"/>
              <w:left w:type="dxa" w:w="120"/>
              <w:bottom w:type="dxa" w:w="60"/>
              <w:right w:type="dxa" w:w="120"/>
            </w:tcMar>
          </w:tcPr>
          <w:p>
            <w:pPr>
              <w:spacing w:line="276"/>
            </w:pPr>
            <w:r>
              <w:rPr>
                <w:rFonts w:ascii="Times New Roman" w:hAnsi="Times New Roman"/>
                <w:color w:val="2B2320"/>
                <w:sz w:val="18"/>
                <w:szCs w:val="18"/>
              </w:rPr>
              <w:t xml:space="preserve">the Z(t) formula (the Arias de Reyna version) — the E16 engine</w:t>
            </w:r>
          </w:p>
        </w:tc>
      </w:tr>
      <w:tr>
        <w:trPr>
          <w:cantSplit/>
        </w:trPr>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Blind protocol</w:t>
            </w:r>
          </w:p>
        </w:tc>
        <w:tc>
          <w:tcPr>
            <w:tcW w:type="pct" w:w="3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separated detector and validator + output pinning</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Trace formula</w:t>
            </w:r>
          </w:p>
        </w:tc>
        <w:tc>
          <w:tcPr>
            <w:tcW w:type="pct" w:w="3700"/>
            <w:tcMar>
              <w:top w:type="dxa" w:w="60"/>
              <w:left w:type="dxa" w:w="120"/>
              <w:bottom w:type="dxa" w:w="60"/>
              <w:right w:type="dxa" w:w="120"/>
            </w:tcMar>
          </w:tcPr>
          <w:p>
            <w:pPr>
              <w:spacing w:line="276"/>
            </w:pPr>
            <w:r>
              <w:rPr>
                <w:rFonts w:ascii="Times New Roman" w:hAnsi="Times New Roman"/>
                <w:color w:val="2B2320"/>
                <w:sz w:val="18"/>
                <w:szCs w:val="18"/>
              </w:rPr>
              <w:t xml:space="preserve">K(x) = Tr e^(−xH_ξ); the coefficients carry Λ(n)/√n (Th6)</w:t>
            </w:r>
          </w:p>
        </w:tc>
      </w:tr>
      <w:tr>
        <w:trPr>
          <w:cantSplit/>
        </w:trPr>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Li formula</w:t>
            </w:r>
          </w:p>
        </w:tc>
        <w:tc>
          <w:tcPr>
            <w:tcW w:type="pct" w:w="3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critical-line criterion: λ_n = Tr g_n(H_ξ) ≥ 0 (Th4)</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Flagship metric</w:t>
            </w:r>
          </w:p>
        </w:tc>
        <w:tc>
          <w:tcPr>
            <w:tcW w:type="pct" w:w="3700"/>
            <w:tcMar>
              <w:top w:type="dxa" w:w="60"/>
              <w:left w:type="dxa" w:w="120"/>
              <w:bottom w:type="dxa" w:w="60"/>
              <w:right w:type="dxa" w:w="120"/>
            </w:tcMar>
          </w:tcPr>
          <w:p>
            <w:pPr>
              <w:spacing w:line="276"/>
            </w:pPr>
            <w:r>
              <w:rPr>
                <w:rFonts w:ascii="Times New Roman" w:hAnsi="Times New Roman"/>
                <w:color w:val="2B2320"/>
                <w:sz w:val="18"/>
                <w:szCs w:val="18"/>
              </w:rPr>
              <w:t xml:space="preserve">a metric from flagship_numbers.csv with its verdict source</w:t>
            </w:r>
          </w:p>
        </w:tc>
      </w:tr>
      <w:tr>
        <w:trPr>
          <w:cantSplit/>
        </w:trPr>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Timeline</w:t>
            </w:r>
          </w:p>
        </w:tc>
        <w:tc>
          <w:tcPr>
            <w:tcW w:type="pct" w:w="3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the timeline of 43 campaigns (600 dpi, RU/EN)</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CHSH</w:t>
            </w:r>
          </w:p>
        </w:tc>
        <w:tc>
          <w:tcPr>
            <w:tcW w:type="pct" w:w="3700"/>
            <w:tcMar>
              <w:top w:type="dxa" w:w="60"/>
              <w:left w:type="dxa" w:w="120"/>
              <w:bottom w:type="dxa" w:w="60"/>
              <w:right w:type="dxa" w:w="120"/>
            </w:tcMar>
          </w:tcPr>
          <w:p>
            <w:pPr>
              <w:spacing w:line="276"/>
            </w:pPr>
            <w:r>
              <w:rPr>
                <w:rFonts w:ascii="Times New Roman" w:hAnsi="Times New Roman"/>
                <w:color w:val="2B2320"/>
                <w:sz w:val="18"/>
                <w:szCs w:val="18"/>
              </w:rPr>
              <w:t xml:space="preserve">the Bell inequality; S = 2√2 in the V24 preview without signaling</w:t>
            </w:r>
          </w:p>
        </w:tc>
      </w:tr>
      <w:tr>
        <w:trPr>
          <w:cantSplit/>
        </w:trPr>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Erratum</w:t>
            </w:r>
          </w:p>
        </w:tc>
        <w:tc>
          <w:tcPr>
            <w:tcW w:type="pct" w:w="3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 published error and its correction (B/C₀, γ₁₂, ES2a/ES5a)</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GUE</w:t>
            </w:r>
          </w:p>
        </w:tc>
        <w:tc>
          <w:tcPr>
            <w:tcW w:type="pct" w:w="3700"/>
            <w:tcMar>
              <w:top w:type="dxa" w:w="60"/>
              <w:left w:type="dxa" w:w="120"/>
              <w:bottom w:type="dxa" w:w="60"/>
              <w:right w:type="dxa" w:w="120"/>
            </w:tcMar>
          </w:tcPr>
          <w:p>
            <w:pPr>
              <w:spacing w:line="276"/>
            </w:pPr>
            <w:r>
              <w:rPr>
                <w:rFonts w:ascii="Times New Roman" w:hAnsi="Times New Roman"/>
                <w:color w:val="2B2320"/>
                <w:sz w:val="18"/>
                <w:szCs w:val="18"/>
              </w:rPr>
              <w:t xml:space="preserve">the Gaussian Unitary Ensemble; the reference of spectral statistics</w:t>
            </w:r>
          </w:p>
        </w:tc>
      </w:tr>
      <w:tr>
        <w:trPr>
          <w:cantSplit/>
        </w:trPr>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DAG</w:t>
            </w:r>
          </w:p>
        </w:tc>
        <w:tc>
          <w:tcPr>
            <w:tcW w:type="pct" w:w="3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 directed acyclic graph; the structure of the obligation machine</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ISA</w:t>
            </w:r>
          </w:p>
        </w:tc>
        <w:tc>
          <w:tcPr>
            <w:tcW w:type="pct" w:w="3700"/>
            <w:tcMar>
              <w:top w:type="dxa" w:w="60"/>
              <w:left w:type="dxa" w:w="120"/>
              <w:bottom w:type="dxa" w:w="60"/>
              <w:right w:type="dxa" w:w="120"/>
            </w:tcMar>
          </w:tcPr>
          <w:p>
            <w:pPr>
              <w:spacing w:line="276"/>
            </w:pPr>
            <w:r>
              <w:rPr>
                <w:rFonts w:ascii="Times New Roman" w:hAnsi="Times New Roman"/>
                <w:color w:val="2B2320"/>
                <w:sz w:val="18"/>
                <w:szCs w:val="18"/>
              </w:rPr>
              <w:t xml:space="preserve">the instruction set: admissible AB clouds and their composition</w:t>
            </w:r>
          </w:p>
        </w:tc>
      </w:tr>
      <w:tr>
        <w:trPr>
          <w:cantSplit/>
        </w:trPr>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QEC</w:t>
            </w:r>
          </w:p>
        </w:tc>
        <w:tc>
          <w:tcPr>
            <w:tcW w:type="pct" w:w="3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quantum error correction; verification stage O-J3</w:t>
            </w:r>
          </w:p>
        </w:tc>
      </w:tr>
    </w:tbl>
    <w:p>
      <w:pPr>
        <w:spacing w:after="120"/>
      </w:pPr>
    </w:p>
    <w:p>
      <w:pPr>
        <w:pStyle w:val="Heading1"/>
        <w:spacing w:after="160" w:before="360" w:line="312"/>
      </w:pPr>
      <w:bookmarkStart w:name="_Toc204" w:id="204"/>
      <w:r>
        <w:rPr>
          <w:rFonts w:ascii="Times New Roman" w:hAnsi="Times New Roman"/>
          <w:b/>
          <w:bCs/>
          <w:color w:val="2B2320"/>
          <w:sz w:val="32"/>
          <w:szCs w:val="32"/>
        </w:rPr>
        <w:t xml:space="preserve">Appendix I. Protocols and Thresholds of the Campaigns</w:t>
      </w:r>
      <w:bookmarkEnd w:id="204"/>
    </w:p>
    <w:p>
      <w:pPr>
        <w:spacing w:after="120" w:line="312"/>
        <w:jc w:val="both"/>
      </w:pPr>
      <w:r>
        <w:rPr>
          <w:rFonts w:ascii="Times New Roman" w:hAnsi="Times New Roman"/>
          <w:color w:val="2B2320"/>
          <w:sz w:val="22"/>
          <w:szCs w:val="22"/>
        </w:rPr>
        <w:t xml:space="preserve">Every campaign has a pre-registration protocol and a verdict file. The table maps campaigns to their files and statuses; the thresholds are given in the protocols (the pre_registered field of each verdict quotes them verbatim).</w:t>
      </w:r>
    </w:p>
    <w:p>
      <w:pPr>
        <w:keepNext/>
        <w:spacing w:after="80" w:before="160"/>
        <w:jc w:val="center"/>
      </w:pPr>
      <w:r>
        <w:rPr>
          <w:rFonts w:ascii="Times New Roman" w:hAnsi="Times New Roman"/>
          <w:b/>
          <w:bCs/>
          <w:color w:val="7A5C48"/>
          <w:sz w:val="19"/>
          <w:szCs w:val="19"/>
        </w:rPr>
        <w:t xml:space="preserve">Table I.1. The campaign map: verdict files</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1083"/>
        <w:gridCol w:w="2166"/>
        <w:gridCol w:w="4513"/>
        <w:gridCol w:w="1264"/>
      </w:tblGrid>
      <w:tr>
        <w:trPr>
          <w:cantSplit/>
          <w:tblHeader/>
        </w:trPr>
        <w:tc>
          <w:tcPr>
            <w:tcW w:type="pct" w:w="6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Campaign</w:t>
            </w:r>
          </w:p>
        </w:tc>
        <w:tc>
          <w:tcPr>
            <w:tcW w:type="pct" w:w="12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Module</w:t>
            </w:r>
          </w:p>
        </w:tc>
        <w:tc>
          <w:tcPr>
            <w:tcW w:type="pct" w:w="25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Verdict file</w:t>
            </w:r>
          </w:p>
        </w:tc>
        <w:tc>
          <w:tcPr>
            <w:tcW w:type="pct" w:w="7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Status</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V1</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modules/core_spectrum/data/v1_verdict.json</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V2</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modules/core_spectrum/data/v2_verdict.json</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V3</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modules/core_spectrum/data/v3_verdict.json</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V4</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modules/core_spectrum/data/v4_verdict.json</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V5</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modules/core_spectrum/data/v5_verdict.json</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V6</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modules/core_spectrum/data/v6_verdict.json</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V7</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modules/core_spectrum/data/v7_verdict.json</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V8</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modules/core_spectrum/data/v8_verdict.json</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V9</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modules/core_spectrum/data/v9_verdict.json</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V10</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modules/core_spectrum/data/v10_verdict.json</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V11</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modules/core_spectrum/data/v11_verdict.json</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V12</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modules/core_spectrum/data/v12_verdict.json</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V13</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modules/core_spectrum/data/v13_verdict.json</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V14</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modules/core_spectrum/data/v14_verdict.json</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V15</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modules/core_spectrum/data/v15_verdict.json</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V16</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modules/core_spectrum/data/v16_verdict.json</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V17</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modules/core_spectrum/data/v17_verdict.json</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V18</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modules/core_spectrum/data/v18_verdict.json</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V19</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core_spectrum</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modules/core_spectrum/data/v19_verdict.json</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V20</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processor_ab</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modules/processor_ab/data/v20_verdict.json</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исполнена</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E01</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modules/verifier_multilang/results/e01_verdict.json</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E02</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modules/verifier_multilang/results/e02_verdict.json</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E03</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modules/verifier_multilang/results/e03_verdict.json</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E04</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modules/verifier_multilang/results/e04_verdict.json</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E05</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modules/verifier_multilang/results/e05_verdict.json</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E06</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modules/verifier_multilang/results/e06_verdict.json</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E07</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modules/verifier_multilang/results/e07_verdict.json</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E08</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modules/verifier_multilang/results/e08_verdict.json</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E09</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modules/verifier_multilang/results/e09_verdict.json</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E10</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modules/verifier_multilang/results/e10_verdict.json</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E11</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modules/verifier_multilang/results/e11_verdict.json</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E12</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modules/verifier_multilang/results/e12_verdict.json</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E13</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modules/verifier_multilang/results/e13_verdict.json</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E14</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modules/verifier_multilang/results/e14_verdict.json</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E15</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modules/verifier_multilang/results/e15_verdict.json</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E16</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modules/verifier_multilang/results/e16_verdict.json</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E17</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modules/verifier_multilang/results/e17_verdict.json</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E18</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verifier_multilang</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modules/verifier_multilang/results/e18_verdict.json</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ES1</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realtime_spinor_memory</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research/realtime_spinor_memory/data/es1_verdict.json</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ES2</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realtime_spinor_memory</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research/realtime_spinor_memory/data/es2_verdict.json</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ES3</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realtime_spinor_memory</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research/realtime_spinor_memory/data/es3_verdict.json</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6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ES4</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realtime_spinor_memory</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research/realtime_spinor_memory/data/es4_verdict.json</w:t>
            </w:r>
          </w:p>
        </w:tc>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600"/>
            <w:tcMar>
              <w:top w:type="dxa" w:w="60"/>
              <w:left w:type="dxa" w:w="120"/>
              <w:bottom w:type="dxa" w:w="60"/>
              <w:right w:type="dxa" w:w="120"/>
            </w:tcMar>
          </w:tcPr>
          <w:p>
            <w:pPr>
              <w:spacing w:line="276"/>
            </w:pPr>
            <w:r>
              <w:rPr>
                <w:rFonts w:ascii="Times New Roman" w:hAnsi="Times New Roman"/>
                <w:color w:val="2B2320"/>
                <w:sz w:val="18"/>
                <w:szCs w:val="18"/>
              </w:rPr>
              <w:t xml:space="preserve">ES5</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realtime_spinor_memory</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research/realtime_spinor_memory/data/es5_verdict.json</w:t>
            </w:r>
          </w:p>
        </w:tc>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bl>
    <w:p>
      <w:pPr>
        <w:spacing w:after="120"/>
      </w:pPr>
    </w:p>
    <w:p>
      <w:pPr>
        <w:pStyle w:val="Heading1"/>
        <w:spacing w:after="160" w:before="360" w:line="312"/>
      </w:pPr>
      <w:bookmarkStart w:name="_Toc205" w:id="205"/>
      <w:r>
        <w:rPr>
          <w:rFonts w:ascii="Times New Roman" w:hAnsi="Times New Roman"/>
          <w:b/>
          <w:bCs/>
          <w:color w:val="2B2320"/>
          <w:sz w:val="32"/>
          <w:szCs w:val="32"/>
        </w:rPr>
        <w:t xml:space="preserve">Appendix J. Package Inventory</w:t>
      </w:r>
      <w:bookmarkEnd w:id="205"/>
    </w:p>
    <w:p>
      <w:pPr>
        <w:keepNext/>
        <w:spacing w:after="80" w:before="160"/>
        <w:jc w:val="center"/>
      </w:pPr>
      <w:r>
        <w:rPr>
          <w:rFonts w:ascii="Times New Roman" w:hAnsi="Times New Roman"/>
          <w:b/>
          <w:bCs/>
          <w:color w:val="7A5C48"/>
          <w:sz w:val="19"/>
          <w:szCs w:val="19"/>
        </w:rPr>
        <w:t xml:space="preserve">Table J.1. Program composition by level</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2347"/>
        <w:gridCol w:w="4513"/>
        <w:gridCol w:w="2166"/>
      </w:tblGrid>
      <w:tr>
        <w:trPr>
          <w:cantSplit/>
          <w:tblHeader/>
        </w:trPr>
        <w:tc>
          <w:tcPr>
            <w:tcW w:type="pct" w:w="13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Section</w:t>
            </w:r>
          </w:p>
        </w:tc>
        <w:tc>
          <w:tcPr>
            <w:tcW w:type="pct" w:w="25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Content</w:t>
            </w:r>
          </w:p>
        </w:tc>
        <w:tc>
          <w:tcPr>
            <w:tcW w:type="pct" w:w="12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Volume</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core: campaigns V01–V19, Th1–Th6, V13, web lab, level monographs</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19 campaigns, 24 documents</w:t>
            </w:r>
          </w:p>
        </w:tc>
      </w:tr>
      <w:tr>
        <w:trPr>
          <w:cantSplit/>
        </w:trPr>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modules/processor_ab</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processor: V20 (P0), ISA, compiler, rpbridge, web lab</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campaign V20 + previews</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verification: E01–E18, blind protocols, SHA pins</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18 campaigns</w:t>
            </w:r>
          </w:p>
        </w:tc>
      </w:tr>
      <w:tr>
        <w:trPr>
          <w:cantSplit/>
        </w:trPr>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research/realtime_spinor_memory</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spinor: ES1–ES5, TS1–TS3, tests, theorems</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5 campaigns, 12 documents</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theorems_lemmas</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theorem documents + tiles + JSON</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24 documents, 12 tiles</w:t>
            </w:r>
          </w:p>
        </w:tc>
      </w:tr>
      <w:tr>
        <w:trPr>
          <w:cantSplit/>
        </w:trPr>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figures_tiled / atlas / timeline</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derived visual artifacts</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20 tiles + atlas + timeline</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datasets</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flagship_numbers, campaign_timeline, zeta_zeros_reference</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15 metrics, 43 campaigns, 660 zeros</w:t>
            </w:r>
          </w:p>
        </w:tc>
      </w:tr>
      <w:tr>
        <w:trPr>
          <w:cantSplit/>
        </w:trPr>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whitepaper / glossary / formal / web_lab / docs</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supporting layers</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2 PDFs, glossary, A1–A6, portals</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MONOGRAPH_ARCHIVE</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main monograph RU/EN × DOCX/PDF, 4 level programs, LaTeX</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12+ documents</w:t>
            </w:r>
          </w:p>
        </w:tc>
      </w:tr>
      <w:tr>
        <w:trPr>
          <w:cantSplit/>
        </w:trPr>
        <w:tc>
          <w:tcPr>
            <w:tcW w:type="pct" w:w="13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HYPOTHESIS_LAB</w:t>
            </w:r>
          </w:p>
        </w:tc>
        <w:tc>
          <w:tcPr>
            <w:tcW w:type="pct" w:w="25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hypothesis laboratory: CLI + browser + examples</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4 batteries</w:t>
            </w:r>
          </w:p>
        </w:tc>
      </w:tr>
      <w:tr>
        <w:trPr>
          <w:cantSplit/>
        </w:trPr>
        <w:tc>
          <w:tcPr>
            <w:tcW w:type="pct" w:w="1300"/>
            <w:tcMar>
              <w:top w:type="dxa" w:w="60"/>
              <w:left w:type="dxa" w:w="120"/>
              <w:bottom w:type="dxa" w:w="60"/>
              <w:right w:type="dxa" w:w="120"/>
            </w:tcMar>
          </w:tcPr>
          <w:p>
            <w:pPr>
              <w:spacing w:line="276"/>
            </w:pPr>
            <w:r>
              <w:rPr>
                <w:rFonts w:ascii="Times New Roman" w:hAnsi="Times New Roman"/>
                <w:color w:val="2B2320"/>
                <w:sz w:val="18"/>
                <w:szCs w:val="18"/>
              </w:rPr>
              <w:t xml:space="preserve">VISUAL_ANIMATIONS</w:t>
            </w:r>
          </w:p>
        </w:tc>
        <w:tc>
          <w:tcPr>
            <w:tcW w:type="pct" w:w="2500"/>
            <w:tcMar>
              <w:top w:type="dxa" w:w="60"/>
              <w:left w:type="dxa" w:w="120"/>
              <w:bottom w:type="dxa" w:w="60"/>
              <w:right w:type="dxa" w:w="120"/>
            </w:tcMar>
          </w:tcPr>
          <w:p>
            <w:pPr>
              <w:spacing w:line="276"/>
            </w:pPr>
            <w:r>
              <w:rPr>
                <w:rFonts w:ascii="Times New Roman" w:hAnsi="Times New Roman"/>
                <w:color w:val="2B2320"/>
                <w:sz w:val="18"/>
                <w:szCs w:val="18"/>
              </w:rPr>
              <w:t xml:space="preserve">visual animations: GIF + SVG + HTML</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5+5+5 artifacts</w:t>
            </w:r>
          </w:p>
        </w:tc>
      </w:tr>
    </w:tbl>
    <w:p>
      <w:pPr>
        <w:spacing w:after="120"/>
      </w:pPr>
    </w:p>
    <w:p>
      <w:pPr>
        <w:pStyle w:val="Heading1"/>
        <w:spacing w:after="160" w:before="360" w:line="312"/>
      </w:pPr>
      <w:bookmarkStart w:name="_Toc206" w:id="206"/>
      <w:r>
        <w:rPr>
          <w:rFonts w:ascii="Times New Roman" w:hAnsi="Times New Roman"/>
          <w:b/>
          <w:bCs/>
          <w:color w:val="2B2320"/>
          <w:sz w:val="32"/>
          <w:szCs w:val="32"/>
        </w:rPr>
        <w:t xml:space="preserve">Appendix K. The Laboratory Hypothesis Template</w:t>
      </w:r>
      <w:bookmarkEnd w:id="206"/>
    </w:p>
    <w:p>
      <w:pPr>
        <w:spacing w:after="120" w:line="312"/>
        <w:jc w:val="both"/>
      </w:pPr>
      <w:r>
        <w:rPr>
          <w:rFonts w:ascii="Times New Roman" w:hAnsi="Times New Roman"/>
          <w:color w:val="2B2320"/>
          <w:sz w:val="22"/>
          <w:szCs w:val="22"/>
        </w:rPr>
        <w:t xml:space="preserve">The hypothesis laboratory accepts a config of the following form (the full description — chapter 20 and HYPOTHESIS_LAB/README.md).</w:t>
      </w:r>
    </w:p>
    <w:p>
      <w:pPr>
        <w:shd w:fill="FAF6F3" w:val="clear"/>
        <w:spacing w:after="0" w:line="240"/>
        <w:ind w:left="360"/>
        <w:jc w:val="left"/>
      </w:pPr>
      <w:r>
        <w:rPr>
          <w:rFonts w:ascii="Courier New" w:hAnsi="Courier New"/>
          <w:color w:val="2B2320"/>
          <w:sz w:val="15"/>
          <w:szCs w:val="15"/>
        </w:rPr>
        <w:t xml:space="preserve">{</w:t>
      </w:r>
    </w:p>
    <w:p>
      <w:pPr>
        <w:shd w:fill="FAF6F3" w:val="clear"/>
        <w:spacing w:after="0" w:line="240"/>
        <w:ind w:left="360"/>
        <w:jc w:val="left"/>
      </w:pPr>
      <w:r>
        <w:rPr>
          <w:rFonts w:ascii="Courier New" w:hAnsi="Courier New"/>
          <w:color w:val="2B2320"/>
          <w:sz w:val="15"/>
          <w:szCs w:val="15"/>
        </w:rPr>
        <w:t xml:space="preserve">  "name": "my-hypothesis-01",</w:t>
      </w:r>
    </w:p>
    <w:p>
      <w:pPr>
        <w:shd w:fill="FAF6F3" w:val="clear"/>
        <w:spacing w:after="0" w:line="240"/>
        <w:ind w:left="360"/>
        <w:jc w:val="left"/>
      </w:pPr>
      <w:r>
        <w:rPr>
          <w:rFonts w:ascii="Courier New" w:hAnsi="Courier New"/>
          <w:color w:val="2B2320"/>
          <w:sz w:val="15"/>
          <w:szCs w:val="15"/>
        </w:rPr>
        <w:t xml:space="preserve">  "battery": "spinor",</w:t>
      </w:r>
    </w:p>
    <w:p>
      <w:pPr>
        <w:shd w:fill="FAF6F3" w:val="clear"/>
        <w:spacing w:after="0" w:line="240"/>
        <w:ind w:left="360"/>
        <w:jc w:val="left"/>
      </w:pPr>
      <w:r>
        <w:rPr>
          <w:rFonts w:ascii="Courier New" w:hAnsi="Courier New"/>
          <w:color w:val="2B2320"/>
          <w:sz w:val="15"/>
          <w:szCs w:val="15"/>
        </w:rPr>
        <w:t xml:space="preserve">  "params": { "theta": 0.37, "steps": 200 },</w:t>
      </w:r>
    </w:p>
    <w:p>
      <w:pPr>
        <w:shd w:fill="FAF6F3" w:val="clear"/>
        <w:spacing w:after="0" w:line="240"/>
        <w:ind w:left="360"/>
        <w:jc w:val="left"/>
      </w:pPr>
      <w:r>
        <w:rPr>
          <w:rFonts w:ascii="Courier New" w:hAnsi="Courier New"/>
          <w:color w:val="2B2320"/>
          <w:sz w:val="15"/>
          <w:szCs w:val="15"/>
        </w:rPr>
        <w:t xml:space="preserve">  "thresholds": {</w:t>
      </w:r>
    </w:p>
    <w:p>
      <w:pPr>
        <w:shd w:fill="FAF6F3" w:val="clear"/>
        <w:spacing w:after="0" w:line="240"/>
        <w:ind w:left="360"/>
        <w:jc w:val="left"/>
      </w:pPr>
      <w:r>
        <w:rPr>
          <w:rFonts w:ascii="Courier New" w:hAnsi="Courier New"/>
          <w:color w:val="2B2320"/>
          <w:sz w:val="15"/>
          <w:szCs w:val="15"/>
        </w:rPr>
        <w:t xml:space="preserve">    "cycle_closure": "exact",</w:t>
      </w:r>
    </w:p>
    <w:p>
      <w:pPr>
        <w:shd w:fill="FAF6F3" w:val="clear"/>
        <w:spacing w:after="0" w:line="240"/>
        <w:ind w:left="360"/>
        <w:jc w:val="left"/>
      </w:pPr>
      <w:r>
        <w:rPr>
          <w:rFonts w:ascii="Courier New" w:hAnsi="Courier New"/>
          <w:color w:val="2B2320"/>
          <w:sz w:val="15"/>
          <w:szCs w:val="15"/>
        </w:rPr>
        <w:t xml:space="preserve">    "reconstruction_max": 0.26,</w:t>
      </w:r>
    </w:p>
    <w:p>
      <w:pPr>
        <w:shd w:fill="FAF6F3" w:val="clear"/>
        <w:spacing w:after="0" w:line="240"/>
        <w:ind w:left="360"/>
        <w:jc w:val="left"/>
      </w:pPr>
      <w:r>
        <w:rPr>
          <w:rFonts w:ascii="Courier New" w:hAnsi="Courier New"/>
          <w:color w:val="2B2320"/>
          <w:sz w:val="15"/>
          <w:szCs w:val="15"/>
        </w:rPr>
        <w:t xml:space="preserve">    "step_slope_abs_max": 1e-6</w:t>
      </w:r>
    </w:p>
    <w:p>
      <w:pPr>
        <w:shd w:fill="FAF6F3" w:val="clear"/>
        <w:spacing w:after="0" w:line="240"/>
        <w:ind w:left="360"/>
        <w:jc w:val="left"/>
      </w:pPr>
      <w:r>
        <w:rPr>
          <w:rFonts w:ascii="Courier New" w:hAnsi="Courier New"/>
          <w:color w:val="2B2320"/>
          <w:sz w:val="15"/>
          <w:szCs w:val="15"/>
        </w:rPr>
        <w:t xml:space="preserve">  },</w:t>
      </w:r>
    </w:p>
    <w:p>
      <w:pPr>
        <w:shd w:fill="FAF6F3" w:val="clear"/>
        <w:spacing w:after="0" w:line="240"/>
        <w:ind w:left="360"/>
        <w:jc w:val="left"/>
      </w:pPr>
      <w:r>
        <w:rPr>
          <w:rFonts w:ascii="Courier New" w:hAnsi="Courier New"/>
          <w:color w:val="2B2320"/>
          <w:sz w:val="15"/>
          <w:szCs w:val="15"/>
        </w:rPr>
        <w:t xml:space="preserve">  "does_not_prove": "RH; primality of zeros; applicability beyond the Markov class",</w:t>
      </w:r>
    </w:p>
    <w:p>
      <w:pPr>
        <w:shd w:fill="FAF6F3" w:val="clear"/>
        <w:spacing w:after="0" w:line="240"/>
        <w:ind w:left="360"/>
        <w:jc w:val="left"/>
      </w:pPr>
      <w:r>
        <w:rPr>
          <w:rFonts w:ascii="Courier New" w:hAnsi="Courier New"/>
          <w:color w:val="2B2320"/>
          <w:sz w:val="15"/>
          <w:szCs w:val="15"/>
        </w:rPr>
        <w:t xml:space="preserve">  "blind": true,</w:t>
      </w:r>
    </w:p>
    <w:p>
      <w:pPr>
        <w:shd w:fill="FAF6F3" w:val="clear"/>
        <w:spacing w:after="0" w:line="240"/>
        <w:ind w:left="360"/>
        <w:jc w:val="left"/>
      </w:pPr>
      <w:r>
        <w:rPr>
          <w:rFonts w:ascii="Courier New" w:hAnsi="Courier New"/>
          <w:color w:val="2B2320"/>
          <w:sz w:val="15"/>
          <w:szCs w:val="15"/>
        </w:rPr>
        <w:t xml:space="preserve">  "replicate": "float64-vs-mpmath"</w:t>
      </w:r>
    </w:p>
    <w:p>
      <w:pPr>
        <w:shd w:fill="FAF6F3" w:val="clear"/>
        <w:spacing w:after="140" w:line="240"/>
        <w:ind w:left="360"/>
        <w:jc w:val="left"/>
      </w:pPr>
      <w:r>
        <w:rPr>
          <w:rFonts w:ascii="Courier New" w:hAnsi="Courier New"/>
          <w:color w:val="2B2320"/>
          <w:sz w:val="15"/>
          <w:szCs w:val="15"/>
        </w:rPr>
        <w:t xml:space="preserve">}</w:t>
      </w:r>
    </w:p>
    <w:p>
      <w:pPr>
        <w:spacing w:after="120" w:line="312"/>
        <w:jc w:val="both"/>
      </w:pPr>
      <w:r>
        <w:rPr>
          <w:rFonts w:ascii="Times New Roman" w:hAnsi="Times New Roman"/>
          <w:color w:val="2B2320"/>
          <w:sz w:val="22"/>
          <w:szCs w:val="22"/>
        </w:rPr>
        <w:t xml:space="preserve">The fields name/battery/params/thresholds are mandatory; does_not_prove is mandatory by discipline; blind enables output pinning; replicate runs a second arithmetic. The verdict is written to reports/ with a SHA256 of the output and attached to the campaign report.</w:t>
      </w:r>
    </w:p>
    <w:p>
      <w:pPr>
        <w:pStyle w:val="Heading1"/>
        <w:spacing w:after="160" w:before="360" w:line="312"/>
      </w:pPr>
      <w:bookmarkStart w:name="_Toc207" w:id="207"/>
      <w:r>
        <w:rPr>
          <w:rFonts w:ascii="Times New Roman" w:hAnsi="Times New Roman"/>
          <w:b/>
          <w:bCs/>
          <w:color w:val="2B2320"/>
          <w:sz w:val="32"/>
          <w:szCs w:val="32"/>
        </w:rPr>
        <w:t xml:space="preserve">Appendix L. Verdict Excerpts</w:t>
      </w:r>
      <w:bookmarkEnd w:id="207"/>
    </w:p>
    <w:p>
      <w:pPr>
        <w:spacing w:after="120" w:line="312"/>
        <w:jc w:val="both"/>
      </w:pPr>
      <w:r>
        <w:rPr>
          <w:rFonts w:ascii="Times New Roman" w:hAnsi="Times New Roman"/>
          <w:color w:val="2B2320"/>
          <w:sz w:val="22"/>
          <w:szCs w:val="22"/>
        </w:rPr>
        <w:t xml:space="preserve">Formatted excerpts of the key fields of four verdicts (values — from the committed files; the full text — in the corresponding JSON files).</w:t>
      </w:r>
    </w:p>
    <w:p>
      <w:pPr>
        <w:shd w:fill="FAF6F3" w:val="clear"/>
        <w:spacing w:after="0" w:line="240"/>
        <w:ind w:left="360"/>
        <w:jc w:val="left"/>
      </w:pPr>
      <w:r>
        <w:rPr>
          <w:rFonts w:ascii="Courier New" w:hAnsi="Courier New"/>
          <w:color w:val="2B2320"/>
          <w:sz w:val="15"/>
          <w:szCs w:val="15"/>
        </w:rPr>
        <w:t xml:space="preserve"># V13 — the obligation machine (excerpt)</w:t>
      </w:r>
    </w:p>
    <w:p>
      <w:pPr>
        <w:shd w:fill="FAF6F3" w:val="clear"/>
        <w:spacing w:after="0" w:line="240"/>
        <w:ind w:left="360"/>
        <w:jc w:val="left"/>
      </w:pPr>
      <w:r>
        <w:rPr>
          <w:rFonts w:ascii="Courier New" w:hAnsi="Courier New"/>
          <w:color w:val="2B2320"/>
          <w:sz w:val="15"/>
          <w:szCs w:val="15"/>
        </w:rPr>
        <w:t xml:space="preserve">dag_valid    : true</w:t>
      </w:r>
    </w:p>
    <w:p>
      <w:pPr>
        <w:shd w:fill="FAF6F3" w:val="clear"/>
        <w:spacing w:after="0" w:line="240"/>
        <w:ind w:left="360"/>
        <w:jc w:val="left"/>
      </w:pPr>
      <w:r>
        <w:rPr>
          <w:rFonts w:ascii="Courier New" w:hAnsi="Courier New"/>
          <w:color w:val="2B2320"/>
          <w:sz w:val="15"/>
          <w:szCs w:val="15"/>
        </w:rPr>
        <w:t xml:space="preserve">rh_conclusion: blocked</w:t>
      </w:r>
    </w:p>
    <w:p>
      <w:pPr>
        <w:shd w:fill="FAF6F3" w:val="clear"/>
        <w:spacing w:after="0" w:line="240"/>
        <w:ind w:left="360"/>
        <w:jc w:val="left"/>
      </w:pPr>
      <w:r>
        <w:rPr>
          <w:rFonts w:ascii="Courier New" w:hAnsi="Courier New"/>
          <w:color w:val="2B2320"/>
          <w:sz w:val="15"/>
          <w:szCs w:val="15"/>
        </w:rPr>
        <w:t xml:space="preserve">n_proven     : 5    n_computed: 3    n_assumed: 4</w:t>
      </w:r>
    </w:p>
    <w:p>
      <w:pPr>
        <w:shd w:fill="FAF6F3" w:val="clear"/>
        <w:spacing w:after="0" w:line="240"/>
        <w:ind w:left="360"/>
        <w:jc w:val="left"/>
      </w:pPr>
      <w:r>
        <w:rPr>
          <w:rFonts w:ascii="Courier New" w:hAnsi="Courier New"/>
          <w:color w:val="2B2320"/>
          <w:sz w:val="15"/>
          <w:szCs w:val="15"/>
        </w:rPr>
        <w:t xml:space="preserve">verdict_note : the formal machine BLOCKS the RH conclusion: the path</w:t>
      </w:r>
    </w:p>
    <w:p>
      <w:pPr>
        <w:shd w:fill="FAF6F3" w:val="clear"/>
        <w:spacing w:after="0" w:line="240"/>
        <w:ind w:left="360"/>
        <w:jc w:val="left"/>
      </w:pPr>
      <w:r>
        <w:rPr>
          <w:rFonts w:ascii="Courier New" w:hAnsi="Courier New"/>
          <w:color w:val="2B2320"/>
          <w:sz w:val="15"/>
          <w:szCs w:val="15"/>
        </w:rPr>
        <w:t xml:space="preserve">               contains the hypotheses O08/O09/O11/O12; no numerical</w:t>
      </w:r>
    </w:p>
    <w:p>
      <w:pPr>
        <w:shd w:fill="FAF6F3" w:val="clear"/>
        <w:spacing w:after="140" w:line="240"/>
        <w:ind w:left="360"/>
        <w:jc w:val="left"/>
      </w:pPr>
      <w:r>
        <w:rPr>
          <w:rFonts w:ascii="Courier New" w:hAnsi="Courier New"/>
          <w:color w:val="2B2320"/>
          <w:sz w:val="15"/>
          <w:szCs w:val="15"/>
        </w:rPr>
        <w:t xml:space="preserve">               check raises the status</w:t>
      </w:r>
    </w:p>
    <w:p>
      <w:pPr>
        <w:shd w:fill="FAF6F3" w:val="clear"/>
        <w:spacing w:after="0" w:line="240"/>
        <w:ind w:left="360"/>
        <w:jc w:val="left"/>
      </w:pPr>
      <w:r>
        <w:rPr>
          <w:rFonts w:ascii="Courier New" w:hAnsi="Courier New"/>
          <w:color w:val="2B2320"/>
          <w:sz w:val="15"/>
          <w:szCs w:val="15"/>
        </w:rPr>
        <w:t xml:space="preserve"># V20 — the compiler (excerpt)</w:t>
      </w:r>
    </w:p>
    <w:p>
      <w:pPr>
        <w:shd w:fill="FAF6F3" w:val="clear"/>
        <w:spacing w:after="0" w:line="240"/>
        <w:ind w:left="360"/>
        <w:jc w:val="left"/>
      </w:pPr>
      <w:r>
        <w:rPr>
          <w:rFonts w:ascii="Courier New" w:hAnsi="Courier New"/>
          <w:color w:val="2B2320"/>
          <w:sz w:val="15"/>
          <w:szCs w:val="15"/>
        </w:rPr>
        <w:t xml:space="preserve">runtime_s    : 1.8</w:t>
      </w:r>
    </w:p>
    <w:p>
      <w:pPr>
        <w:shd w:fill="FAF6F3" w:val="clear"/>
        <w:spacing w:after="0" w:line="240"/>
        <w:ind w:left="360"/>
        <w:jc w:val="left"/>
      </w:pPr>
      <w:r>
        <w:rPr>
          <w:rFonts w:ascii="Courier New" w:hAnsi="Courier New"/>
          <w:color w:val="2B2320"/>
          <w:sz w:val="15"/>
          <w:szCs w:val="15"/>
        </w:rPr>
        <w:t xml:space="preserve">4x4: 1-F &lt;= 4.4e-16 (depth &lt;= 7)</w:t>
      </w:r>
    </w:p>
    <w:p>
      <w:pPr>
        <w:shd w:fill="FAF6F3" w:val="clear"/>
        <w:spacing w:after="0" w:line="240"/>
        <w:ind w:left="360"/>
        <w:jc w:val="left"/>
      </w:pPr>
      <w:r>
        <w:rPr>
          <w:rFonts w:ascii="Courier New" w:hAnsi="Courier New"/>
          <w:color w:val="2B2320"/>
          <w:sz w:val="15"/>
          <w:szCs w:val="15"/>
        </w:rPr>
        <w:t xml:space="preserve">8x8: 1-F &lt;= 6.7e-16 (depth &lt;= 29)</w:t>
      </w:r>
    </w:p>
    <w:p>
      <w:pPr>
        <w:shd w:fill="FAF6F3" w:val="clear"/>
        <w:spacing w:after="0" w:line="240"/>
        <w:ind w:left="360"/>
        <w:jc w:val="left"/>
      </w:pPr>
      <w:r>
        <w:rPr>
          <w:rFonts w:ascii="Courier New" w:hAnsi="Courier New"/>
          <w:color w:val="2B2320"/>
          <w:sz w:val="15"/>
          <w:szCs w:val="15"/>
        </w:rPr>
        <w:t xml:space="preserve">numpy replica: 0 counter mismatches, |dF| = 2.2e-16</w:t>
      </w:r>
    </w:p>
    <w:p>
      <w:pPr>
        <w:shd w:fill="FAF6F3" w:val="clear"/>
        <w:spacing w:after="140" w:line="240"/>
        <w:ind w:left="360"/>
        <w:jc w:val="left"/>
      </w:pPr>
      <w:r>
        <w:rPr>
          <w:rFonts w:ascii="Courier New" w:hAnsi="Courier New"/>
          <w:color w:val="2B2320"/>
          <w:sz w:val="15"/>
          <w:szCs w:val="15"/>
        </w:rPr>
        <w:t xml:space="preserve">status       : PASS (P0)</w:t>
      </w:r>
    </w:p>
    <w:p>
      <w:pPr>
        <w:shd w:fill="FAF6F3" w:val="clear"/>
        <w:spacing w:after="0" w:line="240"/>
        <w:ind w:left="360"/>
        <w:jc w:val="left"/>
      </w:pPr>
      <w:r>
        <w:rPr>
          <w:rFonts w:ascii="Courier New" w:hAnsi="Courier New"/>
          <w:color w:val="2B2320"/>
          <w:sz w:val="15"/>
          <w:szCs w:val="15"/>
        </w:rPr>
        <w:t xml:space="preserve"># E17 — blind reading (excerpt; the full field list — chapter 23)</w:t>
      </w:r>
    </w:p>
    <w:p>
      <w:pPr>
        <w:shd w:fill="FAF6F3" w:val="clear"/>
        <w:spacing w:after="0" w:line="240"/>
        <w:ind w:left="360"/>
        <w:jc w:val="left"/>
      </w:pPr>
      <w:r>
        <w:rPr>
          <w:rFonts w:ascii="Courier New" w:hAnsi="Courier New"/>
          <w:color w:val="2B2320"/>
          <w:sz w:val="15"/>
          <w:szCs w:val="15"/>
        </w:rPr>
        <w:t xml:space="preserve">n_detected_em: 649   n_detected_rs: 639   N_rvm: 649</w:t>
      </w:r>
    </w:p>
    <w:p>
      <w:pPr>
        <w:shd w:fill="FAF6F3" w:val="clear"/>
        <w:spacing w:after="0" w:line="240"/>
        <w:ind w:left="360"/>
        <w:jc w:val="left"/>
      </w:pPr>
      <w:r>
        <w:rPr>
          <w:rFonts w:ascii="Courier New" w:hAnsi="Courier New"/>
          <w:color w:val="2B2320"/>
          <w:sz w:val="15"/>
          <w:szCs w:val="15"/>
        </w:rPr>
        <w:t xml:space="preserve">max_err_em   : 3.02e-10   cross_engine_max: 0</w:t>
      </w:r>
    </w:p>
    <w:p>
      <w:pPr>
        <w:shd w:fill="FAF6F3" w:val="clear"/>
        <w:spacing w:after="0" w:line="240"/>
        <w:ind w:left="360"/>
        <w:jc w:val="left"/>
      </w:pPr>
      <w:r>
        <w:rPr>
          <w:rFonts w:ascii="Courier New" w:hAnsi="Courier New"/>
          <w:color w:val="2B2320"/>
          <w:sz w:val="15"/>
          <w:szCs w:val="15"/>
        </w:rPr>
        <w:t xml:space="preserve">precision/recall: 1/1 (EM)   1/1 (RS)</w:t>
      </w:r>
    </w:p>
    <w:p>
      <w:pPr>
        <w:shd w:fill="FAF6F3" w:val="clear"/>
        <w:spacing w:after="140" w:line="240"/>
        <w:ind w:left="360"/>
        <w:jc w:val="left"/>
      </w:pPr>
      <w:r>
        <w:rPr>
          <w:rFonts w:ascii="Courier New" w:hAnsi="Courier New"/>
          <w:color w:val="2B2320"/>
          <w:sz w:val="15"/>
          <w:szCs w:val="15"/>
        </w:rPr>
        <w:t xml:space="preserve">pass         : true</w:t>
      </w:r>
    </w:p>
    <w:p>
      <w:pPr>
        <w:shd w:fill="FAF6F3" w:val="clear"/>
        <w:spacing w:after="0" w:line="240"/>
        <w:ind w:left="360"/>
        <w:jc w:val="left"/>
      </w:pPr>
      <w:r>
        <w:rPr>
          <w:rFonts w:ascii="Courier New" w:hAnsi="Courier New"/>
          <w:color w:val="2B2320"/>
          <w:sz w:val="15"/>
          <w:szCs w:val="15"/>
        </w:rPr>
        <w:t xml:space="preserve"># ES3 — real time (excerpt)</w:t>
      </w:r>
    </w:p>
    <w:p>
      <w:pPr>
        <w:shd w:fill="FAF6F3" w:val="clear"/>
        <w:spacing w:after="0" w:line="240"/>
        <w:ind w:left="360"/>
        <w:jc w:val="left"/>
      </w:pPr>
      <w:r>
        <w:rPr>
          <w:rFonts w:ascii="Courier New" w:hAnsi="Courier New"/>
          <w:color w:val="2B2320"/>
          <w:sz w:val="15"/>
          <w:szCs w:val="15"/>
        </w:rPr>
        <w:t xml:space="preserve">slope        : -1.5e-12 ms/step (memoryless; zero within noise)</w:t>
      </w:r>
    </w:p>
    <w:p>
      <w:pPr>
        <w:shd w:fill="FAF6F3" w:val="clear"/>
        <w:spacing w:after="0" w:line="240"/>
        <w:ind w:left="360"/>
        <w:jc w:val="left"/>
      </w:pPr>
      <w:r>
        <w:rPr>
          <w:rFonts w:ascii="Courier New" w:hAnsi="Courier New"/>
          <w:color w:val="2B2320"/>
          <w:sz w:val="15"/>
          <w:szCs w:val="15"/>
        </w:rPr>
        <w:t xml:space="preserve">log growth   : x129 (eternal log)</w:t>
      </w:r>
    </w:p>
    <w:p>
      <w:pPr>
        <w:shd w:fill="FAF6F3" w:val="clear"/>
        <w:spacing w:after="0" w:line="240"/>
        <w:ind w:left="360"/>
        <w:jc w:val="left"/>
      </w:pPr>
      <w:r>
        <w:rPr>
          <w:rFonts w:ascii="Courier New" w:hAnsi="Courier New"/>
          <w:color w:val="2B2320"/>
          <w:sz w:val="15"/>
          <w:szCs w:val="15"/>
        </w:rPr>
        <w:t xml:space="preserve">deadlines    : met (memoryless) / missed (log)</w:t>
      </w:r>
    </w:p>
    <w:p>
      <w:pPr>
        <w:shd w:fill="FAF6F3" w:val="clear"/>
        <w:spacing w:after="140" w:line="240"/>
        <w:ind w:left="360"/>
        <w:jc w:val="left"/>
      </w:pPr>
      <w:r>
        <w:rPr>
          <w:rFonts w:ascii="Courier New" w:hAnsi="Courier New"/>
          <w:color w:val="2B2320"/>
          <w:sz w:val="15"/>
          <w:szCs w:val="15"/>
        </w:rPr>
        <w:t xml:space="preserve">pass         : true</w:t>
      </w:r>
    </w:p>
    <w:p>
      <w:pPr>
        <w:pStyle w:val="Heading1"/>
        <w:spacing w:after="160" w:before="360" w:line="312"/>
      </w:pPr>
      <w:bookmarkStart w:name="_Toc208" w:id="208"/>
      <w:r>
        <w:rPr>
          <w:rFonts w:ascii="Times New Roman" w:hAnsi="Times New Roman"/>
          <w:b/>
          <w:bCs/>
          <w:color w:val="2B2320"/>
          <w:sz w:val="32"/>
          <w:szCs w:val="32"/>
        </w:rPr>
        <w:t xml:space="preserve">Appendix M. A Sample Integrity Report</w:t>
      </w:r>
      <w:bookmarkEnd w:id="208"/>
    </w:p>
    <w:p>
      <w:pPr>
        <w:spacing w:after="120" w:line="312"/>
        <w:jc w:val="both"/>
      </w:pPr>
      <w:r>
        <w:rPr>
          <w:rFonts w:ascii="Times New Roman" w:hAnsi="Times New Roman"/>
          <w:color w:val="2B2320"/>
          <w:sz w:val="22"/>
          <w:szCs w:val="22"/>
        </w:rPr>
        <w:t xml:space="preserve">The package validator prints a line-by-line report; below is a schematic sample of the report structure (the check counts are the actual ones for v1.0.0).</w:t>
      </w:r>
    </w:p>
    <w:p>
      <w:pPr>
        <w:shd w:fill="FAF6F3" w:val="clear"/>
        <w:spacing w:after="0" w:line="240"/>
        <w:ind w:left="360"/>
        <w:jc w:val="left"/>
      </w:pPr>
      <w:r>
        <w:rPr>
          <w:rFonts w:ascii="Courier New" w:hAnsi="Courier New"/>
          <w:color w:val="2B2320"/>
          <w:sz w:val="15"/>
          <w:szCs w:val="15"/>
        </w:rPr>
        <w:t xml:space="preserve">validate_package.py — AB Cloud Quantum Research v1.0.0</w:t>
      </w:r>
    </w:p>
    <w:p>
      <w:pPr>
        <w:shd w:fill="FAF6F3" w:val="clear"/>
        <w:spacing w:after="0" w:line="240"/>
        <w:ind w:left="360"/>
        <w:jc w:val="left"/>
      </w:pPr>
      <w:r>
        <w:rPr>
          <w:rFonts w:ascii="Courier New" w:hAnsi="Courier New"/>
          <w:color w:val="2B2320"/>
          <w:sz w:val="15"/>
          <w:szCs w:val="15"/>
        </w:rPr>
        <w:t xml:space="preserve">[ok] verdict files present          : 43/43</w:t>
      </w:r>
    </w:p>
    <w:p>
      <w:pPr>
        <w:shd w:fill="FAF6F3" w:val="clear"/>
        <w:spacing w:after="0" w:line="240"/>
        <w:ind w:left="360"/>
        <w:jc w:val="left"/>
      </w:pPr>
      <w:r>
        <w:rPr>
          <w:rFonts w:ascii="Courier New" w:hAnsi="Courier New"/>
          <w:color w:val="2B2320"/>
          <w:sz w:val="15"/>
          <w:szCs w:val="15"/>
        </w:rPr>
        <w:t xml:space="preserve">[ok] campaign timeline consistency  : 43 rows match verdicts</w:t>
      </w:r>
    </w:p>
    <w:p>
      <w:pPr>
        <w:shd w:fill="FAF6F3" w:val="clear"/>
        <w:spacing w:after="0" w:line="240"/>
        <w:ind w:left="360"/>
        <w:jc w:val="left"/>
      </w:pPr>
      <w:r>
        <w:rPr>
          <w:rFonts w:ascii="Courier New" w:hAnsi="Courier New"/>
          <w:color w:val="2B2320"/>
          <w:sz w:val="15"/>
          <w:szCs w:val="15"/>
        </w:rPr>
        <w:t xml:space="preserve">[ok] flagship numbers traceable     : 15/15 sources resolved</w:t>
      </w:r>
    </w:p>
    <w:p>
      <w:pPr>
        <w:shd w:fill="FAF6F3" w:val="clear"/>
        <w:spacing w:after="0" w:line="240"/>
        <w:ind w:left="360"/>
        <w:jc w:val="left"/>
      </w:pPr>
      <w:r>
        <w:rPr>
          <w:rFonts w:ascii="Courier New" w:hAnsi="Courier New"/>
          <w:color w:val="2B2320"/>
          <w:sz w:val="15"/>
          <w:szCs w:val="15"/>
        </w:rPr>
        <w:t xml:space="preserve">[ok] SHA256 pins verified           : e11/e17 detectors + references</w:t>
      </w:r>
    </w:p>
    <w:p>
      <w:pPr>
        <w:shd w:fill="FAF6F3" w:val="clear"/>
        <w:spacing w:after="0" w:line="240"/>
        <w:ind w:left="360"/>
        <w:jc w:val="left"/>
      </w:pPr>
      <w:r>
        <w:rPr>
          <w:rFonts w:ascii="Courier New" w:hAnsi="Courier New"/>
          <w:color w:val="2B2320"/>
          <w:sz w:val="15"/>
          <w:szCs w:val="15"/>
        </w:rPr>
        <w:t xml:space="preserve">[ok] tiled figures vs verdicts      : 20/20 consistent</w:t>
      </w:r>
    </w:p>
    <w:p>
      <w:pPr>
        <w:shd w:fill="FAF6F3" w:val="clear"/>
        <w:spacing w:after="0" w:line="240"/>
        <w:ind w:left="360"/>
        <w:jc w:val="left"/>
      </w:pPr>
      <w:r>
        <w:rPr>
          <w:rFonts w:ascii="Courier New" w:hAnsi="Courier New"/>
          <w:color w:val="2B2320"/>
          <w:sz w:val="15"/>
          <w:szCs w:val="15"/>
        </w:rPr>
        <w:t xml:space="preserve">[ok] theorem documents vs _json     : 36/36 consistent</w:t>
      </w:r>
    </w:p>
    <w:p>
      <w:pPr>
        <w:shd w:fill="FAF6F3" w:val="clear"/>
        <w:spacing w:after="0" w:line="240"/>
        <w:ind w:left="360"/>
        <w:jc w:val="left"/>
      </w:pPr>
      <w:r>
        <w:rPr>
          <w:rFonts w:ascii="Courier New" w:hAnsi="Courier New"/>
          <w:color w:val="2B2320"/>
          <w:sz w:val="15"/>
          <w:szCs w:val="15"/>
        </w:rPr>
        <w:t xml:space="preserve">[ok] multilang control files        : c/cpp/rust/go/js/julia agree</w:t>
      </w:r>
    </w:p>
    <w:p>
      <w:pPr>
        <w:shd w:fill="FAF6F3" w:val="clear"/>
        <w:spacing w:after="0" w:line="240"/>
        <w:ind w:left="360"/>
        <w:jc w:val="left"/>
      </w:pPr>
      <w:r>
        <w:rPr>
          <w:rFonts w:ascii="Courier New" w:hAnsi="Courier New"/>
          <w:color w:val="2B2320"/>
          <w:sz w:val="15"/>
          <w:szCs w:val="15"/>
        </w:rPr>
        <w:t xml:space="preserve">[ok] formal layer sources           : lean/coq/agda/isabelle present</w:t>
      </w:r>
    </w:p>
    <w:p>
      <w:pPr>
        <w:shd w:fill="FAF6F3" w:val="clear"/>
        <w:spacing w:after="0" w:line="240"/>
        <w:ind w:left="360"/>
        <w:jc w:val="left"/>
      </w:pPr>
      <w:r>
        <w:rPr>
          <w:rFonts w:ascii="Courier New" w:hAnsi="Courier New"/>
          <w:color w:val="2B2320"/>
          <w:sz w:val="15"/>
          <w:szCs w:val="15"/>
        </w:rPr>
        <w:t xml:space="preserve">[ok] web labs assets                : portal + core(10) + processor(8)</w:t>
      </w:r>
    </w:p>
    <w:p>
      <w:pPr>
        <w:shd w:fill="FAF6F3" w:val="clear"/>
        <w:spacing w:after="0" w:line="240"/>
        <w:ind w:left="360"/>
        <w:jc w:val="left"/>
      </w:pPr>
      <w:r>
        <w:rPr>
          <w:rFonts w:ascii="Courier New" w:hAnsi="Courier New"/>
          <w:color w:val="2B2320"/>
          <w:sz w:val="15"/>
          <w:szCs w:val="15"/>
        </w:rPr>
        <w:t xml:space="preserve">[ok] package integrity              : 95+ checks passed</w:t>
      </w:r>
    </w:p>
    <w:p>
      <w:pPr>
        <w:shd w:fill="FAF6F3" w:val="clear"/>
        <w:spacing w:after="140" w:line="240"/>
        <w:ind w:left="360"/>
        <w:jc w:val="left"/>
      </w:pPr>
      <w:r>
        <w:rPr>
          <w:rFonts w:ascii="Courier New" w:hAnsi="Courier New"/>
          <w:color w:val="2B2320"/>
          <w:sz w:val="15"/>
          <w:szCs w:val="15"/>
        </w:rPr>
        <w:t xml:space="preserve">RESULT: PASS</w:t>
      </w:r>
    </w:p>
    <w:p>
      <w:pPr>
        <w:spacing w:after="120" w:line="312"/>
        <w:jc w:val="both"/>
      </w:pPr>
      <w:r>
        <w:rPr>
          <w:rFonts w:ascii="Times New Roman" w:hAnsi="Times New Roman"/>
          <w:color w:val="2B2320"/>
          <w:sz w:val="22"/>
          <w:szCs w:val="22"/>
        </w:rPr>
        <w:t xml:space="preserve">The report is the last checkpoint before a commit: if even one line is not ok, the build is not considered finished. The same principle applies in the hypothesis laboratory: a hypothesis report ends with a RESULT line, and only a PASS/FAIL with a does_not_prove field counts as a verdict.</w:t>
      </w:r>
    </w:p>
    <w:p>
      <w:pPr>
        <w:pStyle w:val="Heading1"/>
        <w:spacing w:after="160" w:before="360" w:line="312"/>
      </w:pPr>
      <w:bookmarkStart w:name="_Toc209" w:id="209"/>
      <w:r>
        <w:rPr>
          <w:rFonts w:ascii="Times New Roman" w:hAnsi="Times New Roman"/>
          <w:b/>
          <w:bCs/>
          <w:color w:val="2B2320"/>
          <w:sz w:val="32"/>
          <w:szCs w:val="32"/>
        </w:rPr>
        <w:t xml:space="preserve">Appendix N. Quick Start by Level</w:t>
      </w:r>
      <w:bookmarkEnd w:id="209"/>
    </w:p>
    <w:p>
      <w:pPr>
        <w:keepNext/>
        <w:spacing w:after="80" w:before="160"/>
        <w:jc w:val="center"/>
      </w:pPr>
      <w:r>
        <w:rPr>
          <w:rFonts w:ascii="Times New Roman" w:hAnsi="Times New Roman"/>
          <w:b/>
          <w:bCs/>
          <w:color w:val="7A5C48"/>
          <w:sz w:val="19"/>
          <w:szCs w:val="19"/>
        </w:rPr>
        <w:t xml:space="preserve">Table N.1. Quick-start commands</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1625"/>
        <w:gridCol w:w="5416"/>
        <w:gridCol w:w="1986"/>
      </w:tblGrid>
      <w:tr>
        <w:trPr>
          <w:cantSplit/>
          <w:tblHeader/>
        </w:trPr>
        <w:tc>
          <w:tcPr>
            <w:tcW w:type="pct" w:w="9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Level</w:t>
            </w:r>
          </w:p>
        </w:tc>
        <w:tc>
          <w:tcPr>
            <w:tcW w:type="pct" w:w="30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Command</w:t>
            </w:r>
          </w:p>
        </w:tc>
        <w:tc>
          <w:tcPr>
            <w:tcW w:type="pct" w:w="11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Time</w:t>
            </w:r>
          </w:p>
        </w:tc>
      </w:tr>
      <w:tr>
        <w:trPr>
          <w:cantSplit/>
        </w:trPr>
        <w:tc>
          <w:tcPr>
            <w:tcW w:type="pct" w:w="900"/>
            <w:tcMar>
              <w:top w:type="dxa" w:w="60"/>
              <w:left w:type="dxa" w:w="120"/>
              <w:bottom w:type="dxa" w:w="60"/>
              <w:right w:type="dxa" w:w="120"/>
            </w:tcMar>
          </w:tcPr>
          <w:p>
            <w:pPr>
              <w:spacing w:line="276"/>
            </w:pPr>
            <w:r>
              <w:rPr>
                <w:rFonts w:ascii="Times New Roman" w:hAnsi="Times New Roman"/>
                <w:color w:val="2B2320"/>
                <w:sz w:val="18"/>
                <w:szCs w:val="18"/>
              </w:rPr>
              <w:t xml:space="preserve">integrity</w:t>
            </w:r>
          </w:p>
        </w:tc>
        <w:tc>
          <w:tcPr>
            <w:tcW w:type="pct" w:w="3000"/>
            <w:tcMar>
              <w:top w:type="dxa" w:w="60"/>
              <w:left w:type="dxa" w:w="120"/>
              <w:bottom w:type="dxa" w:w="60"/>
              <w:right w:type="dxa" w:w="120"/>
            </w:tcMar>
          </w:tcPr>
          <w:p>
            <w:pPr>
              <w:spacing w:line="276"/>
            </w:pPr>
            <w:r>
              <w:rPr>
                <w:rFonts w:ascii="Times New Roman" w:hAnsi="Times New Roman"/>
                <w:color w:val="2B2320"/>
                <w:sz w:val="18"/>
                <w:szCs w:val="18"/>
              </w:rPr>
              <w:t xml:space="preserve">python3 scripts/validate_package.py</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seconds</w:t>
            </w:r>
          </w:p>
        </w:tc>
      </w:tr>
      <w:tr>
        <w:trPr>
          <w:cantSplit/>
        </w:trPr>
        <w:tc>
          <w:tcPr>
            <w:tcW w:type="pct" w:w="9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spinor</w:t>
            </w:r>
          </w:p>
        </w:tc>
        <w:tc>
          <w:tcPr>
            <w:tcW w:type="pct" w:w="3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python3 experiments/run_all.py (inside the study folder)</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~2.5 min</w:t>
            </w:r>
          </w:p>
        </w:tc>
      </w:tr>
      <w:tr>
        <w:trPr>
          <w:cantSplit/>
        </w:trPr>
        <w:tc>
          <w:tcPr>
            <w:tcW w:type="pct" w:w="900"/>
            <w:tcMar>
              <w:top w:type="dxa" w:w="60"/>
              <w:left w:type="dxa" w:w="120"/>
              <w:bottom w:type="dxa" w:w="60"/>
              <w:right w:type="dxa" w:w="120"/>
            </w:tcMar>
          </w:tcPr>
          <w:p>
            <w:pPr>
              <w:spacing w:line="276"/>
            </w:pPr>
            <w:r>
              <w:rPr>
                <w:rFonts w:ascii="Times New Roman" w:hAnsi="Times New Roman"/>
                <w:color w:val="2B2320"/>
                <w:sz w:val="18"/>
                <w:szCs w:val="18"/>
              </w:rPr>
              <w:t xml:space="preserve">verification</w:t>
            </w:r>
          </w:p>
        </w:tc>
        <w:tc>
          <w:tcPr>
            <w:tcW w:type="pct" w:w="3000"/>
            <w:tcMar>
              <w:top w:type="dxa" w:w="60"/>
              <w:left w:type="dxa" w:w="120"/>
              <w:bottom w:type="dxa" w:w="60"/>
              <w:right w:type="dxa" w:w="120"/>
            </w:tcMar>
          </w:tcPr>
          <w:p>
            <w:pPr>
              <w:spacing w:line="276"/>
            </w:pPr>
            <w:r>
              <w:rPr>
                <w:rFonts w:ascii="Times New Roman" w:hAnsi="Times New Roman"/>
                <w:color w:val="2B2320"/>
                <w:sz w:val="18"/>
                <w:szCs w:val="18"/>
              </w:rPr>
              <w:t xml:space="preserve">julia modules/verifier_multilang/experiments/run_all.jl all</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~2.5 min</w:t>
            </w:r>
          </w:p>
        </w:tc>
      </w:tr>
      <w:tr>
        <w:trPr>
          <w:cantSplit/>
        </w:trPr>
        <w:tc>
          <w:tcPr>
            <w:tcW w:type="pct" w:w="9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processor</w:t>
            </w:r>
          </w:p>
        </w:tc>
        <w:tc>
          <w:tcPr>
            <w:tcW w:type="pct" w:w="3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python3 modules/processor_ab/scripts/compute_v20.py</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seconds</w:t>
            </w:r>
          </w:p>
        </w:tc>
      </w:tr>
      <w:tr>
        <w:trPr>
          <w:cantSplit/>
        </w:trPr>
        <w:tc>
          <w:tcPr>
            <w:tcW w:type="pct" w:w="900"/>
            <w:tcMar>
              <w:top w:type="dxa" w:w="60"/>
              <w:left w:type="dxa" w:w="120"/>
              <w:bottom w:type="dxa" w:w="60"/>
              <w:right w:type="dxa" w:w="120"/>
            </w:tcMar>
          </w:tcPr>
          <w:p>
            <w:pPr>
              <w:spacing w:line="276"/>
            </w:pPr>
            <w:r>
              <w:rPr>
                <w:rFonts w:ascii="Times New Roman" w:hAnsi="Times New Roman"/>
                <w:color w:val="2B2320"/>
                <w:sz w:val="18"/>
                <w:szCs w:val="18"/>
              </w:rPr>
              <w:t xml:space="preserve">core (tests)</w:t>
            </w:r>
          </w:p>
        </w:tc>
        <w:tc>
          <w:tcPr>
            <w:tcW w:type="pct" w:w="3000"/>
            <w:tcMar>
              <w:top w:type="dxa" w:w="60"/>
              <w:left w:type="dxa" w:w="120"/>
              <w:bottom w:type="dxa" w:w="60"/>
              <w:right w:type="dxa" w:w="120"/>
            </w:tcMar>
          </w:tcPr>
          <w:p>
            <w:pPr>
              <w:spacing w:line="276"/>
            </w:pPr>
            <w:r>
              <w:rPr>
                <w:rFonts w:ascii="Times New Roman" w:hAnsi="Times New Roman"/>
                <w:color w:val="2B2320"/>
                <w:sz w:val="18"/>
                <w:szCs w:val="18"/>
              </w:rPr>
              <w:t xml:space="preserve">cd modules/core_spectrum &amp;&amp; python3 -m pytest tests/ -q</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minutes</w:t>
            </w:r>
          </w:p>
        </w:tc>
      </w:tr>
      <w:tr>
        <w:trPr>
          <w:cantSplit/>
        </w:trPr>
        <w:tc>
          <w:tcPr>
            <w:tcW w:type="pct" w:w="9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tiles</w:t>
            </w:r>
          </w:p>
        </w:tc>
        <w:tc>
          <w:tcPr>
            <w:tcW w:type="pct" w:w="30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python3 scripts/make_tiled_figures.py</w:t>
            </w:r>
          </w:p>
        </w:tc>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a minute</w:t>
            </w:r>
          </w:p>
        </w:tc>
      </w:tr>
      <w:tr>
        <w:trPr>
          <w:cantSplit/>
        </w:trPr>
        <w:tc>
          <w:tcPr>
            <w:tcW w:type="pct" w:w="900"/>
            <w:tcMar>
              <w:top w:type="dxa" w:w="60"/>
              <w:left w:type="dxa" w:w="120"/>
              <w:bottom w:type="dxa" w:w="60"/>
              <w:right w:type="dxa" w:w="120"/>
            </w:tcMar>
          </w:tcPr>
          <w:p>
            <w:pPr>
              <w:spacing w:line="276"/>
            </w:pPr>
            <w:r>
              <w:rPr>
                <w:rFonts w:ascii="Times New Roman" w:hAnsi="Times New Roman"/>
                <w:color w:val="2B2320"/>
                <w:sz w:val="18"/>
                <w:szCs w:val="18"/>
              </w:rPr>
              <w:t xml:space="preserve">laboratory</w:t>
            </w:r>
          </w:p>
        </w:tc>
        <w:tc>
          <w:tcPr>
            <w:tcW w:type="pct" w:w="3000"/>
            <w:tcMar>
              <w:top w:type="dxa" w:w="60"/>
              <w:left w:type="dxa" w:w="120"/>
              <w:bottom w:type="dxa" w:w="60"/>
              <w:right w:type="dxa" w:w="120"/>
            </w:tcMar>
          </w:tcPr>
          <w:p>
            <w:pPr>
              <w:spacing w:line="276"/>
            </w:pPr>
            <w:r>
              <w:rPr>
                <w:rFonts w:ascii="Times New Roman" w:hAnsi="Times New Roman"/>
                <w:color w:val="2B2320"/>
                <w:sz w:val="18"/>
                <w:szCs w:val="18"/>
              </w:rPr>
              <w:t xml:space="preserve">python3 HYPOTHESIS_LAB/ab_lab.py doctor</w:t>
            </w:r>
          </w:p>
        </w:tc>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seconds</w:t>
            </w:r>
          </w:p>
        </w:tc>
      </w:tr>
    </w:tbl>
    <w:p>
      <w:pPr>
        <w:spacing w:after="120"/>
      </w:pPr>
    </w:p>
    <w:p>
      <w:pPr>
        <w:spacing w:after="120" w:line="312"/>
        <w:jc w:val="both"/>
      </w:pPr>
      <w:r>
        <w:rPr>
          <w:rFonts w:ascii="Times New Roman" w:hAnsi="Times New Roman"/>
          <w:color w:val="2B2320"/>
          <w:sz w:val="22"/>
          <w:szCs w:val="22"/>
        </w:rPr>
        <w:t xml:space="preserve">Requirements: Python ≥ 3.10 (requirements.txt), Julia ≥ 1.10 (standard library only). No network is required: all references and control files are in the package.</w:t>
      </w:r>
    </w:p>
    <w:p>
      <w:pPr>
        <w:pStyle w:val="Heading1"/>
        <w:spacing w:after="160" w:before="360" w:line="312"/>
      </w:pPr>
      <w:bookmarkStart w:name="_Toc210" w:id="210"/>
      <w:r>
        <w:rPr>
          <w:rFonts w:ascii="Times New Roman" w:hAnsi="Times New Roman"/>
          <w:b/>
          <w:bCs/>
          <w:color w:val="2B2320"/>
          <w:sz w:val="32"/>
          <w:szCs w:val="32"/>
        </w:rPr>
        <w:t xml:space="preserve">Appendix O. The Document Map</w:t>
      </w:r>
      <w:bookmarkEnd w:id="210"/>
    </w:p>
    <w:p>
      <w:pPr>
        <w:spacing w:after="120" w:line="312"/>
        <w:jc w:val="both"/>
      </w:pPr>
      <w:r>
        <w:rPr>
          <w:rFonts w:ascii="Times New Roman" w:hAnsi="Times New Roman"/>
          <w:color w:val="2B2320"/>
          <w:sz w:val="22"/>
          <w:szCs w:val="22"/>
        </w:rPr>
        <w:t xml:space="preserve">The full map of the bilingual documents of the program: where to find the "paper" version of any claim.</w:t>
      </w:r>
    </w:p>
    <w:p>
      <w:pPr>
        <w:keepNext/>
        <w:spacing w:after="80" w:before="160"/>
        <w:jc w:val="center"/>
      </w:pPr>
      <w:r>
        <w:rPr>
          <w:rFonts w:ascii="Times New Roman" w:hAnsi="Times New Roman"/>
          <w:b/>
          <w:bCs/>
          <w:color w:val="7A5C48"/>
          <w:sz w:val="19"/>
          <w:szCs w:val="19"/>
        </w:rPr>
        <w:t xml:space="preserve">Table O.1. Program documents</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1986"/>
        <w:gridCol w:w="3069"/>
        <w:gridCol w:w="3971"/>
      </w:tblGrid>
      <w:tr>
        <w:trPr>
          <w:cantSplit/>
          <w:tblHeader/>
        </w:trPr>
        <w:tc>
          <w:tcPr>
            <w:tcW w:type="pct" w:w="11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Family</w:t>
            </w:r>
          </w:p>
        </w:tc>
        <w:tc>
          <w:tcPr>
            <w:tcW w:type="pct" w:w="17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Folder</w:t>
            </w:r>
          </w:p>
        </w:tc>
        <w:tc>
          <w:tcPr>
            <w:tcW w:type="pct" w:w="22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Composition</w:t>
            </w:r>
          </w:p>
        </w:tc>
      </w:tr>
      <w:tr>
        <w:trPr>
          <w:cantSplit/>
        </w:trPr>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Core theorems</w:t>
            </w:r>
          </w:p>
        </w:tc>
        <w:tc>
          <w:tcPr>
            <w:tcW w:type="pct" w:w="1700"/>
            <w:tcMar>
              <w:top w:type="dxa" w:w="60"/>
              <w:left w:type="dxa" w:w="120"/>
              <w:bottom w:type="dxa" w:w="60"/>
              <w:right w:type="dxa" w:w="120"/>
            </w:tcMar>
          </w:tcPr>
          <w:p>
            <w:pPr>
              <w:spacing w:line="276"/>
            </w:pPr>
            <w:r>
              <w:rPr>
                <w:rFonts w:ascii="Times New Roman" w:hAnsi="Times New Roman"/>
                <w:color w:val="2B2320"/>
                <w:sz w:val="18"/>
                <w:szCs w:val="18"/>
              </w:rPr>
              <w:t xml:space="preserve">theorems_lemmas/T01…T06</w:t>
            </w:r>
          </w:p>
        </w:tc>
        <w:tc>
          <w:tcPr>
            <w:tcW w:type="pct" w:w="2200"/>
            <w:tcMar>
              <w:top w:type="dxa" w:w="60"/>
              <w:left w:type="dxa" w:w="120"/>
              <w:bottom w:type="dxa" w:w="60"/>
              <w:right w:type="dxa" w:w="120"/>
            </w:tcMar>
          </w:tcPr>
          <w:p>
            <w:pPr>
              <w:spacing w:line="276"/>
            </w:pPr>
            <w:r>
              <w:rPr>
                <w:rFonts w:ascii="Times New Roman" w:hAnsi="Times New Roman"/>
                <w:color w:val="2B2320"/>
                <w:sz w:val="18"/>
                <w:szCs w:val="18"/>
              </w:rPr>
              <w:t xml:space="preserve">24 documents: 6 theorems × RU/EN × PDF/DOCX</w:t>
            </w:r>
          </w:p>
        </w:tc>
      </w:tr>
      <w:tr>
        <w:trPr>
          <w:cantSplit/>
        </w:trPr>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Spinor theorems</w:t>
            </w:r>
          </w:p>
        </w:tc>
        <w:tc>
          <w:tcPr>
            <w:tcW w:type="pct" w:w="1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research/…/theorems/TS1…TS3</w:t>
            </w:r>
          </w:p>
        </w:tc>
        <w:tc>
          <w:tcPr>
            <w:tcW w:type="pct" w:w="2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12 documents: 3 theorems × RU/EN × PDF/DOCX</w:t>
            </w:r>
          </w:p>
        </w:tc>
      </w:tr>
      <w:tr>
        <w:trPr>
          <w:cantSplit/>
        </w:trPr>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Level monographs</w:t>
            </w:r>
          </w:p>
        </w:tc>
        <w:tc>
          <w:tcPr>
            <w:tcW w:type="pct" w:w="1700"/>
            <w:tcMar>
              <w:top w:type="dxa" w:w="60"/>
              <w:left w:type="dxa" w:w="120"/>
              <w:bottom w:type="dxa" w:w="60"/>
              <w:right w:type="dxa" w:w="120"/>
            </w:tcMar>
          </w:tcPr>
          <w:p>
            <w:pPr>
              <w:spacing w:line="276"/>
            </w:pPr>
            <w:r>
              <w:rPr>
                <w:rFonts w:ascii="Times New Roman" w:hAnsi="Times New Roman"/>
                <w:color w:val="2B2320"/>
                <w:sz w:val="18"/>
                <w:szCs w:val="18"/>
              </w:rPr>
              <w:t xml:space="preserve">modules/*/monograph*, computations</w:t>
            </w:r>
          </w:p>
        </w:tc>
        <w:tc>
          <w:tcPr>
            <w:tcW w:type="pct" w:w="2200"/>
            <w:tcMar>
              <w:top w:type="dxa" w:w="60"/>
              <w:left w:type="dxa" w:w="120"/>
              <w:bottom w:type="dxa" w:w="60"/>
              <w:right w:type="dxa" w:w="120"/>
            </w:tcMar>
          </w:tcPr>
          <w:p>
            <w:pPr>
              <w:spacing w:line="276"/>
            </w:pPr>
            <w:r>
              <w:rPr>
                <w:rFonts w:ascii="Times New Roman" w:hAnsi="Times New Roman"/>
                <w:color w:val="2B2320"/>
                <w:sz w:val="18"/>
                <w:szCs w:val="18"/>
              </w:rPr>
              <w:t xml:space="preserve">monographs V20, core+appendix, reports v030/v040</w:t>
            </w:r>
          </w:p>
        </w:tc>
      </w:tr>
      <w:tr>
        <w:trPr>
          <w:cantSplit/>
        </w:trPr>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White paper</w:t>
            </w:r>
          </w:p>
        </w:tc>
        <w:tc>
          <w:tcPr>
            <w:tcW w:type="pct" w:w="1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whitepaper/</w:t>
            </w:r>
          </w:p>
        </w:tc>
        <w:tc>
          <w:tcPr>
            <w:tcW w:type="pct" w:w="2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2 PDFs: RU/EN</w:t>
            </w:r>
          </w:p>
        </w:tc>
      </w:tr>
      <w:tr>
        <w:trPr>
          <w:cantSplit/>
        </w:trPr>
        <w:tc>
          <w:tcPr>
            <w:tcW w:type="pct" w:w="1100"/>
            <w:tcMar>
              <w:top w:type="dxa" w:w="60"/>
              <w:left w:type="dxa" w:w="120"/>
              <w:bottom w:type="dxa" w:w="60"/>
              <w:right w:type="dxa" w:w="120"/>
            </w:tcMar>
          </w:tcPr>
          <w:p>
            <w:pPr>
              <w:spacing w:line="276"/>
            </w:pPr>
            <w:r>
              <w:rPr>
                <w:rFonts w:ascii="Times New Roman" w:hAnsi="Times New Roman"/>
                <w:color w:val="2B2320"/>
                <w:sz w:val="18"/>
                <w:szCs w:val="18"/>
              </w:rPr>
              <w:t xml:space="preserve">The main monograph</w:t>
            </w:r>
          </w:p>
        </w:tc>
        <w:tc>
          <w:tcPr>
            <w:tcW w:type="pct" w:w="1700"/>
            <w:tcMar>
              <w:top w:type="dxa" w:w="60"/>
              <w:left w:type="dxa" w:w="120"/>
              <w:bottom w:type="dxa" w:w="60"/>
              <w:right w:type="dxa" w:w="120"/>
            </w:tcMar>
          </w:tcPr>
          <w:p>
            <w:pPr>
              <w:spacing w:line="276"/>
            </w:pPr>
            <w:r>
              <w:rPr>
                <w:rFonts w:ascii="Times New Roman" w:hAnsi="Times New Roman"/>
                <w:color w:val="2B2320"/>
                <w:sz w:val="18"/>
                <w:szCs w:val="18"/>
              </w:rPr>
              <w:t xml:space="preserve">MONOGRAPH_ARCHIVE/main_monograph/</w:t>
            </w:r>
          </w:p>
        </w:tc>
        <w:tc>
          <w:tcPr>
            <w:tcW w:type="pct" w:w="2200"/>
            <w:tcMar>
              <w:top w:type="dxa" w:w="60"/>
              <w:left w:type="dxa" w:w="120"/>
              <w:bottom w:type="dxa" w:w="60"/>
              <w:right w:type="dxa" w:w="120"/>
            </w:tcMar>
          </w:tcPr>
          <w:p>
            <w:pPr>
              <w:spacing w:line="276"/>
            </w:pPr>
            <w:r>
              <w:rPr>
                <w:rFonts w:ascii="Times New Roman" w:hAnsi="Times New Roman"/>
                <w:color w:val="2B2320"/>
                <w:sz w:val="18"/>
                <w:szCs w:val="18"/>
              </w:rPr>
              <w:t xml:space="preserve">RU/EN × PDF/DOCX + LaTeX</w:t>
            </w:r>
          </w:p>
        </w:tc>
      </w:tr>
      <w:tr>
        <w:trPr>
          <w:cantSplit/>
        </w:trPr>
        <w:tc>
          <w:tcPr>
            <w:tcW w:type="pct" w:w="1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Level programs</w:t>
            </w:r>
          </w:p>
        </w:tc>
        <w:tc>
          <w:tcPr>
            <w:tcW w:type="pct" w:w="1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MONOGRAPH_ARCHIVE/research_programs/</w:t>
            </w:r>
          </w:p>
        </w:tc>
        <w:tc>
          <w:tcPr>
            <w:tcW w:type="pct" w:w="2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4 programs × RU/EN × PDF/DOCX + LaTeX</w:t>
            </w:r>
          </w:p>
        </w:tc>
      </w:tr>
    </w:tbl>
    <w:p>
      <w:pPr>
        <w:spacing w:after="120"/>
      </w:pPr>
    </w:p>
    <w:p>
      <w:pPr>
        <w:spacing w:after="120" w:line="312"/>
        <w:jc w:val="both"/>
      </w:pPr>
      <w:r>
        <w:rPr>
          <w:rFonts w:ascii="Times New Roman" w:hAnsi="Times New Roman"/>
          <w:color w:val="2B2320"/>
          <w:sz w:val="22"/>
          <w:szCs w:val="22"/>
        </w:rPr>
        <w:t xml:space="preserve">All documents are assembled from the same JSON sources, so the RU/EN versions are synchronous by construction, not by proofreading discipline. If a document and its JSON diverge — the pipeline is broken, not the document.</w:t>
      </w:r>
    </w:p>
    <w:p>
      <w:pPr>
        <w:pStyle w:val="Heading1"/>
        <w:spacing w:after="160" w:before="360" w:line="312"/>
      </w:pPr>
      <w:bookmarkStart w:name="_Toc211" w:id="211"/>
      <w:r>
        <w:rPr>
          <w:rFonts w:ascii="Times New Roman" w:hAnsi="Times New Roman"/>
          <w:b/>
          <w:bCs/>
          <w:color w:val="2B2320"/>
          <w:sz w:val="32"/>
          <w:szCs w:val="32"/>
        </w:rPr>
        <w:t xml:space="preserve">Appendix P. The Verdict Index</w:t>
      </w:r>
      <w:bookmarkEnd w:id="211"/>
    </w:p>
    <w:p>
      <w:pPr>
        <w:spacing w:after="120" w:line="312"/>
        <w:jc w:val="both"/>
      </w:pPr>
      <w:r>
        <w:rPr>
          <w:rFonts w:ascii="Times New Roman" w:hAnsi="Times New Roman"/>
          <w:color w:val="2B2320"/>
          <w:sz w:val="22"/>
          <w:szCs w:val="22"/>
        </w:rPr>
        <w:t xml:space="preserve">The full index of the program's verdict files: forty-three campaigns, the path to every verdict, the status. The index is the entry point of the audit: any line of the monograph is verified through it in one hop.</w:t>
      </w:r>
    </w:p>
    <w:p>
      <w:pPr>
        <w:keepNext/>
        <w:spacing w:after="80" w:before="160"/>
        <w:jc w:val="center"/>
      </w:pPr>
      <w:r>
        <w:rPr>
          <w:rFonts w:ascii="Times New Roman" w:hAnsi="Times New Roman"/>
          <w:b/>
          <w:bCs/>
          <w:color w:val="7A5C48"/>
          <w:sz w:val="19"/>
          <w:szCs w:val="19"/>
        </w:rPr>
        <w:t xml:space="preserve">Table P.1. The verdict-file index</w:t>
      </w:r>
    </w:p>
    <w:tbl>
      <w:tblPr>
        <w:tblW w:type="pct" w:w="5000"/>
        <w:tblBorders>
          <w:top w:val="single" w:color="7A5C48" w:sz="4"/>
          <w:left w:val="none" w:color="FFFFFF" w:sz="0"/>
          <w:bottom w:val="single" w:color="C9B8AC" w:sz="4"/>
          <w:right w:val="none" w:color="FFFFFF" w:sz="0"/>
          <w:insideH w:val="single" w:color="E4DAD2" w:sz="2"/>
          <w:insideV w:val="none" w:color="FFFFFF" w:sz="0"/>
        </w:tblBorders>
      </w:tblPr>
      <w:tblGrid>
        <w:gridCol w:w="1264"/>
        <w:gridCol w:w="5596"/>
        <w:gridCol w:w="2166"/>
      </w:tblGrid>
      <w:tr>
        <w:trPr>
          <w:cantSplit/>
          <w:tblHeader/>
        </w:trPr>
        <w:tc>
          <w:tcPr>
            <w:tcW w:type="pct" w:w="7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Campaign</w:t>
            </w:r>
          </w:p>
        </w:tc>
        <w:tc>
          <w:tcPr>
            <w:tcW w:type="pct" w:w="31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Verdict file</w:t>
            </w:r>
          </w:p>
        </w:tc>
        <w:tc>
          <w:tcPr>
            <w:tcW w:type="pct" w:w="1200"/>
            <w:shd w:fill="7A5C48" w:val="clear"/>
            <w:tcMar>
              <w:top w:type="dxa" w:w="60"/>
              <w:left w:type="dxa" w:w="120"/>
              <w:bottom w:type="dxa" w:w="60"/>
              <w:right w:type="dxa" w:w="120"/>
            </w:tcMar>
          </w:tcPr>
          <w:p>
            <w:pPr>
              <w:spacing w:line="276"/>
            </w:pPr>
            <w:r>
              <w:rPr>
                <w:rFonts w:ascii="Times New Roman" w:hAnsi="Times New Roman"/>
                <w:b/>
                <w:bCs/>
                <w:color w:val="FFFFFF"/>
                <w:sz w:val="18"/>
                <w:szCs w:val="18"/>
              </w:rPr>
              <w:t xml:space="preserve">Status</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V1</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modules/core_spectrum/data/v1_verdict.json</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V2</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modules/core_spectrum/data/v2_verdict.json</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V3</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modules/core_spectrum/data/v3_verdict.json</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V4</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modules/core_spectrum/data/v4_verdict.json</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V5</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modules/core_spectrum/data/v5_verdict.json</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V6</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modules/core_spectrum/data/v6_verdict.json</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V7</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modules/core_spectrum/data/v7_verdict.json</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V8</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modules/core_spectrum/data/v8_verdict.json</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V9</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modules/core_spectrum/data/v9_verdict.json</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V10</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modules/core_spectrum/data/v10_verdict.json</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V11</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modules/core_spectrum/data/v11_verdict.json</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V12</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modules/core_spectrum/data/v12_verdict.json</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V13</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modules/core_spectrum/data/v13_verdict.json</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V14</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modules/core_spectrum/data/v14_verdict.json</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V15</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modules/core_spectrum/data/v15_verdict.json</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V16</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modules/core_spectrum/data/v16_verdict.json</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V17</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modules/core_spectrum/data/v17_verdict.json</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V18</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modules/core_spectrum/data/v18_verdict.json</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V19</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modules/core_spectrum/data/v19_verdict.json</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выполнена</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V20</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modules/processor_ab/data/v20_verdict.json</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исполнена</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E01</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modules/verifier_multilang/results/e01_verdict.json</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E02</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modules/verifier_multilang/results/e02_verdict.json</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E03</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modules/verifier_multilang/results/e03_verdict.json</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E04</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modules/verifier_multilang/results/e04_verdict.json</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E05</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modules/verifier_multilang/results/e05_verdict.json</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E06</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modules/verifier_multilang/results/e06_verdict.json</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E07</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modules/verifier_multilang/results/e07_verdict.json</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E08</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modules/verifier_multilang/results/e08_verdict.json</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E09</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modules/verifier_multilang/results/e09_verdict.json</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E10</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modules/verifier_multilang/results/e10_verdict.json</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E11</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modules/verifier_multilang/results/e11_verdict.json</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E12</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modules/verifier_multilang/results/e12_verdict.json</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E13</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modules/verifier_multilang/results/e13_verdict.json</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E14</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modules/verifier_multilang/results/e14_verdict.json</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E15</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modules/verifier_multilang/results/e15_verdict.json</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E16</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modules/verifier_multilang/results/e16_verdict.json</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E17</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modules/verifier_multilang/results/e17_verdict.json</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E18</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modules/verifier_multilang/results/e18_verdict.json</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ES1</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research/realtime_spinor_memory/data/es1_verdict.json</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ES2</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research/realtime_spinor_memory/data/es2_verdict.json</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ES3</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research/realtime_spinor_memory/data/es3_verdict.json</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7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ES4</w:t>
            </w:r>
          </w:p>
        </w:tc>
        <w:tc>
          <w:tcPr>
            <w:tcW w:type="pct" w:w="31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research/realtime_spinor_memory/data/es4_verdict.json</w:t>
            </w:r>
          </w:p>
        </w:tc>
        <w:tc>
          <w:tcPr>
            <w:tcW w:type="pct" w:w="1200"/>
            <w:shd w:fill="F7F0EB" w:val="clear"/>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r>
        <w:trPr>
          <w:cantSplit/>
        </w:trPr>
        <w:tc>
          <w:tcPr>
            <w:tcW w:type="pct" w:w="700"/>
            <w:tcMar>
              <w:top w:type="dxa" w:w="60"/>
              <w:left w:type="dxa" w:w="120"/>
              <w:bottom w:type="dxa" w:w="60"/>
              <w:right w:type="dxa" w:w="120"/>
            </w:tcMar>
          </w:tcPr>
          <w:p>
            <w:pPr>
              <w:spacing w:line="276"/>
            </w:pPr>
            <w:r>
              <w:rPr>
                <w:rFonts w:ascii="Times New Roman" w:hAnsi="Times New Roman"/>
                <w:color w:val="2B2320"/>
                <w:sz w:val="18"/>
                <w:szCs w:val="18"/>
              </w:rPr>
              <w:t xml:space="preserve">ES5</w:t>
            </w:r>
          </w:p>
        </w:tc>
        <w:tc>
          <w:tcPr>
            <w:tcW w:type="pct" w:w="3100"/>
            <w:tcMar>
              <w:top w:type="dxa" w:w="60"/>
              <w:left w:type="dxa" w:w="120"/>
              <w:bottom w:type="dxa" w:w="60"/>
              <w:right w:type="dxa" w:w="120"/>
            </w:tcMar>
          </w:tcPr>
          <w:p>
            <w:pPr>
              <w:spacing w:line="276"/>
            </w:pPr>
            <w:r>
              <w:rPr>
                <w:rFonts w:ascii="Times New Roman" w:hAnsi="Times New Roman"/>
                <w:color w:val="2B2320"/>
                <w:sz w:val="18"/>
                <w:szCs w:val="18"/>
              </w:rPr>
              <w:t xml:space="preserve">research/realtime_spinor_memory/data/es5_verdict.json</w:t>
            </w:r>
          </w:p>
        </w:tc>
        <w:tc>
          <w:tcPr>
            <w:tcW w:type="pct" w:w="1200"/>
            <w:tcMar>
              <w:top w:type="dxa" w:w="60"/>
              <w:left w:type="dxa" w:w="120"/>
              <w:bottom w:type="dxa" w:w="60"/>
              <w:right w:type="dxa" w:w="120"/>
            </w:tcMar>
          </w:tcPr>
          <w:p>
            <w:pPr>
              <w:spacing w:line="276"/>
            </w:pPr>
            <w:r>
              <w:rPr>
                <w:rFonts w:ascii="Times New Roman" w:hAnsi="Times New Roman"/>
                <w:color w:val="2B2320"/>
                <w:sz w:val="18"/>
                <w:szCs w:val="18"/>
              </w:rPr>
              <w:t xml:space="preserve">PASS (предрегистрировано)</w:t>
            </w:r>
          </w:p>
        </w:tc>
      </w:tr>
    </w:tbl>
    <w:p>
      <w:pPr>
        <w:spacing w:after="120"/>
      </w:pPr>
    </w:p>
    <w:p>
      <w:pPr>
        <w:pStyle w:val="Heading1"/>
        <w:spacing w:after="160" w:before="360" w:line="312"/>
      </w:pPr>
      <w:bookmarkStart w:name="_Toc212" w:id="212"/>
      <w:r>
        <w:rPr>
          <w:rFonts w:ascii="Times New Roman" w:hAnsi="Times New Roman"/>
          <w:b/>
          <w:bCs/>
          <w:color w:val="2B2320"/>
          <w:sz w:val="32"/>
          <w:szCs w:val="32"/>
        </w:rPr>
        <w:t xml:space="preserve">Appendix Q. The Referee Checklist</w:t>
      </w:r>
      <w:bookmarkEnd w:id="212"/>
    </w:p>
    <w:p>
      <w:pPr>
        <w:spacing w:after="120" w:line="312"/>
        <w:jc w:val="both"/>
      </w:pPr>
      <w:r>
        <w:rPr>
          <w:rFonts w:ascii="Times New Roman" w:hAnsi="Times New Roman"/>
          <w:color w:val="2B2320"/>
          <w:sz w:val="22"/>
          <w:szCs w:val="22"/>
        </w:rPr>
        <w:t xml:space="preserve">A checklist for those who verify the program. Every question states where to find the answer; a "no" on any question is grounds for an erratum.</w:t>
      </w:r>
    </w:p>
    <w:p>
      <w:pPr>
        <w:spacing w:after="60" w:line="312"/>
        <w:ind w:left="360" w:hanging="240"/>
        <w:jc w:val="left"/>
      </w:pPr>
      <w:r>
        <w:rPr>
          <w:rFonts w:ascii="Times New Roman" w:hAnsi="Times New Roman"/>
          <w:color w:val="2B2320"/>
          <w:sz w:val="22"/>
          <w:szCs w:val="22"/>
        </w:rPr>
        <w:t xml:space="preserve">1.  </w:t>
      </w:r>
      <w:r>
        <w:rPr>
          <w:rFonts w:ascii="Times New Roman" w:hAnsi="Times New Roman"/>
          <w:b/>
          <w:bCs/>
          <w:color w:val="2B2320"/>
          <w:sz w:val="22"/>
          <w:szCs w:val="22"/>
        </w:rPr>
        <w:t xml:space="preserve">Are the thresholds pre-registered?</w:t>
      </w:r>
      <w:r>
        <w:rPr>
          <w:rFonts w:ascii="Times New Roman" w:hAnsi="Times New Roman"/>
          <w:color w:val="2B2320"/>
          <w:sz w:val="22"/>
          <w:szCs w:val="22"/>
        </w:rPr>
        <w:t xml:space="preserve"> The pre_registered field of the verdict against the campaign protocol.</w:t>
      </w:r>
    </w:p>
    <w:p>
      <w:pPr>
        <w:spacing w:after="60" w:line="312"/>
        <w:ind w:left="360" w:hanging="240"/>
        <w:jc w:val="left"/>
      </w:pPr>
      <w:r>
        <w:rPr>
          <w:rFonts w:ascii="Times New Roman" w:hAnsi="Times New Roman"/>
          <w:color w:val="2B2320"/>
          <w:sz w:val="22"/>
          <w:szCs w:val="22"/>
        </w:rPr>
        <w:t xml:space="preserve">2.  </w:t>
      </w:r>
      <w:r>
        <w:rPr>
          <w:rFonts w:ascii="Times New Roman" w:hAnsi="Times New Roman"/>
          <w:b/>
          <w:bCs/>
          <w:color w:val="2B2320"/>
          <w:sz w:val="22"/>
          <w:szCs w:val="22"/>
        </w:rPr>
        <w:t xml:space="preserve">Is the blindness observed?</w:t>
      </w:r>
      <w:r>
        <w:rPr>
          <w:rFonts w:ascii="Times New Roman" w:hAnsi="Times New Roman"/>
          <w:color w:val="2B2320"/>
          <w:sz w:val="22"/>
          <w:szCs w:val="22"/>
        </w:rPr>
        <w:t xml:space="preserve"> The detector has no access to the reference; SHA256 pins fixed before validation.</w:t>
      </w:r>
    </w:p>
    <w:p>
      <w:pPr>
        <w:spacing w:after="60" w:line="312"/>
        <w:ind w:left="360" w:hanging="240"/>
        <w:jc w:val="left"/>
      </w:pPr>
      <w:r>
        <w:rPr>
          <w:rFonts w:ascii="Times New Roman" w:hAnsi="Times New Roman"/>
          <w:color w:val="2B2320"/>
          <w:sz w:val="22"/>
          <w:szCs w:val="22"/>
        </w:rPr>
        <w:t xml:space="preserve">3.  </w:t>
      </w:r>
      <w:r>
        <w:rPr>
          <w:rFonts w:ascii="Times New Roman" w:hAnsi="Times New Roman"/>
          <w:b/>
          <w:bCs/>
          <w:color w:val="2B2320"/>
          <w:sz w:val="22"/>
          <w:szCs w:val="22"/>
        </w:rPr>
        <w:t xml:space="preserve">Is the replication clean?</w:t>
      </w:r>
      <w:r>
        <w:rPr>
          <w:rFonts w:ascii="Times New Roman" w:hAnsi="Times New Roman"/>
          <w:color w:val="2B2320"/>
          <w:sz w:val="22"/>
          <w:szCs w:val="22"/>
        </w:rPr>
        <w:t xml:space="preserve"> Julia ↔ mpmath (0.0), numpy replicas (0 counter mismatches).</w:t>
      </w:r>
    </w:p>
    <w:p>
      <w:pPr>
        <w:spacing w:after="60" w:line="312"/>
        <w:ind w:left="360" w:hanging="240"/>
        <w:jc w:val="left"/>
      </w:pPr>
      <w:r>
        <w:rPr>
          <w:rFonts w:ascii="Times New Roman" w:hAnsi="Times New Roman"/>
          <w:color w:val="2B2320"/>
          <w:sz w:val="22"/>
          <w:szCs w:val="22"/>
        </w:rPr>
        <w:t xml:space="preserve">4.  </w:t>
      </w:r>
      <w:r>
        <w:rPr>
          <w:rFonts w:ascii="Times New Roman" w:hAnsi="Times New Roman"/>
          <w:b/>
          <w:bCs/>
          <w:color w:val="2B2320"/>
          <w:sz w:val="22"/>
          <w:szCs w:val="22"/>
        </w:rPr>
        <w:t xml:space="preserve">Is does_not_prove present and correct?</w:t>
      </w:r>
      <w:r>
        <w:rPr>
          <w:rFonts w:ascii="Times New Roman" w:hAnsi="Times New Roman"/>
          <w:color w:val="2B2320"/>
          <w:sz w:val="22"/>
          <w:szCs w:val="22"/>
        </w:rPr>
        <w:t xml:space="preserve"> Claims do not exceed the verdict boundaries.</w:t>
      </w:r>
    </w:p>
    <w:p>
      <w:pPr>
        <w:spacing w:after="60" w:line="312"/>
        <w:ind w:left="360" w:hanging="240"/>
        <w:jc w:val="left"/>
      </w:pPr>
      <w:r>
        <w:rPr>
          <w:rFonts w:ascii="Times New Roman" w:hAnsi="Times New Roman"/>
          <w:color w:val="2B2320"/>
          <w:sz w:val="22"/>
          <w:szCs w:val="22"/>
        </w:rPr>
        <w:t xml:space="preserve">5.  </w:t>
      </w:r>
      <w:r>
        <w:rPr>
          <w:rFonts w:ascii="Times New Roman" w:hAnsi="Times New Roman"/>
          <w:b/>
          <w:bCs/>
          <w:color w:val="2B2320"/>
          <w:sz w:val="22"/>
          <w:szCs w:val="22"/>
        </w:rPr>
        <w:t xml:space="preserve">Are the derived artifacts consistent?</w:t>
      </w:r>
      <w:r>
        <w:rPr>
          <w:rFonts w:ascii="Times New Roman" w:hAnsi="Times New Roman"/>
          <w:color w:val="2B2320"/>
          <w:sz w:val="22"/>
          <w:szCs w:val="22"/>
        </w:rPr>
        <w:t xml:space="preserve"> Tiles and datasets rebuild from verdicts without divergence.</w:t>
      </w:r>
    </w:p>
    <w:p>
      <w:pPr>
        <w:spacing w:after="60" w:line="312"/>
        <w:ind w:left="360" w:hanging="240"/>
        <w:jc w:val="left"/>
      </w:pPr>
      <w:r>
        <w:rPr>
          <w:rFonts w:ascii="Times New Roman" w:hAnsi="Times New Roman"/>
          <w:color w:val="2B2320"/>
          <w:sz w:val="22"/>
          <w:szCs w:val="22"/>
        </w:rPr>
        <w:t xml:space="preserve">6.  </w:t>
      </w:r>
      <w:r>
        <w:rPr>
          <w:rFonts w:ascii="Times New Roman" w:hAnsi="Times New Roman"/>
          <w:b/>
          <w:bCs/>
          <w:color w:val="2B2320"/>
          <w:sz w:val="22"/>
          <w:szCs w:val="22"/>
        </w:rPr>
        <w:t xml:space="preserve">Are negative results published?</w:t>
      </w:r>
      <w:r>
        <w:rPr>
          <w:rFonts w:ascii="Times New Roman" w:hAnsi="Times New Roman"/>
          <w:color w:val="2B2320"/>
          <w:sz w:val="22"/>
          <w:szCs w:val="22"/>
        </w:rPr>
        <w:t xml:space="preserve"> V1/V3/V6/V16, the KAK boundary, the Th5 vortices.</w:t>
      </w:r>
    </w:p>
    <w:p>
      <w:pPr>
        <w:spacing w:after="60" w:line="312"/>
        <w:ind w:left="360" w:hanging="240"/>
        <w:jc w:val="left"/>
      </w:pPr>
      <w:r>
        <w:rPr>
          <w:rFonts w:ascii="Times New Roman" w:hAnsi="Times New Roman"/>
          <w:color w:val="2B2320"/>
          <w:sz w:val="22"/>
          <w:szCs w:val="22"/>
        </w:rPr>
        <w:t xml:space="preserve">7.  </w:t>
      </w:r>
      <w:r>
        <w:rPr>
          <w:rFonts w:ascii="Times New Roman" w:hAnsi="Times New Roman"/>
          <w:b/>
          <w:bCs/>
          <w:color w:val="2B2320"/>
          <w:sz w:val="22"/>
          <w:szCs w:val="22"/>
        </w:rPr>
        <w:t xml:space="preserve">Is the obligation machine consistent with public claims?</w:t>
      </w:r>
      <w:r>
        <w:rPr>
          <w:rFonts w:ascii="Times New Roman" w:hAnsi="Times New Roman"/>
          <w:color w:val="2B2320"/>
          <w:sz w:val="22"/>
          <w:szCs w:val="22"/>
        </w:rPr>
        <w:t xml:space="preserve"> The V14 audit; RH — blocked.</w:t>
      </w:r>
    </w:p>
    <w:p>
      <w:pPr>
        <w:spacing w:after="60" w:line="312"/>
        <w:ind w:left="360" w:hanging="240"/>
        <w:jc w:val="left"/>
      </w:pPr>
      <w:r>
        <w:rPr>
          <w:rFonts w:ascii="Times New Roman" w:hAnsi="Times New Roman"/>
          <w:color w:val="2B2320"/>
          <w:sz w:val="22"/>
          <w:szCs w:val="22"/>
        </w:rPr>
        <w:t xml:space="preserve">8.  </w:t>
      </w:r>
      <w:r>
        <w:rPr>
          <w:rFonts w:ascii="Times New Roman" w:hAnsi="Times New Roman"/>
          <w:b/>
          <w:bCs/>
          <w:color w:val="2B2320"/>
          <w:sz w:val="22"/>
          <w:szCs w:val="22"/>
        </w:rPr>
        <w:t xml:space="preserve">Does the formal layer build?</w:t>
      </w:r>
      <w:r>
        <w:rPr>
          <w:rFonts w:ascii="Times New Roman" w:hAnsi="Times New Roman"/>
          <w:color w:val="2B2320"/>
          <w:sz w:val="22"/>
          <w:szCs w:val="22"/>
        </w:rPr>
        <w:t xml:space="preserve"> Lean/Coq/Agda/Isabelle without sorry/admit.</w:t>
      </w:r>
    </w:p>
    <w:p>
      <w:pPr>
        <w:spacing w:after="60" w:line="312"/>
        <w:ind w:left="360" w:hanging="240"/>
        <w:jc w:val="left"/>
      </w:pPr>
      <w:r>
        <w:rPr>
          <w:rFonts w:ascii="Times New Roman" w:hAnsi="Times New Roman"/>
          <w:color w:val="2B2320"/>
          <w:sz w:val="22"/>
          <w:szCs w:val="22"/>
        </w:rPr>
        <w:t xml:space="preserve">9.  </w:t>
      </w:r>
      <w:r>
        <w:rPr>
          <w:rFonts w:ascii="Times New Roman" w:hAnsi="Times New Roman"/>
          <w:b/>
          <w:bCs/>
          <w:color w:val="2B2320"/>
          <w:sz w:val="22"/>
          <w:szCs w:val="22"/>
        </w:rPr>
        <w:t xml:space="preserve">Do the web laboratories give the same numbers?</w:t>
      </w:r>
      <w:r>
        <w:rPr>
          <w:rFonts w:ascii="Times New Roman" w:hAnsi="Times New Roman"/>
          <w:color w:val="2B2320"/>
          <w:sz w:val="22"/>
          <w:szCs w:val="22"/>
        </w:rPr>
        <w:t xml:space="preserve"> The control files of the multi-language implementations.</w:t>
      </w:r>
    </w:p>
    <w:p>
      <w:pPr>
        <w:spacing w:after="60" w:line="312"/>
        <w:ind w:left="360" w:hanging="240"/>
        <w:jc w:val="left"/>
      </w:pPr>
      <w:r>
        <w:rPr>
          <w:rFonts w:ascii="Times New Roman" w:hAnsi="Times New Roman"/>
          <w:color w:val="2B2320"/>
          <w:sz w:val="22"/>
          <w:szCs w:val="22"/>
        </w:rPr>
        <w:t xml:space="preserve">10.  </w:t>
      </w:r>
      <w:r>
        <w:rPr>
          <w:rFonts w:ascii="Times New Roman" w:hAnsi="Times New Roman"/>
          <w:b/>
          <w:bCs/>
          <w:color w:val="2B2320"/>
          <w:sz w:val="22"/>
          <w:szCs w:val="22"/>
        </w:rPr>
        <w:t xml:space="preserve">Is the package validator green?</w:t>
      </w:r>
      <w:r>
        <w:rPr>
          <w:rFonts w:ascii="Times New Roman" w:hAnsi="Times New Roman"/>
          <w:color w:val="2B2320"/>
          <w:sz w:val="22"/>
          <w:szCs w:val="22"/>
        </w:rPr>
        <w:t xml:space="preserve"> python3 scripts/validate_package.py → RESULT: PASS.</w:t>
      </w:r>
    </w:p>
    <w:sectPr>
      <w:footerReference w:type="default" r:id="rId7"/>
      <w:type w:val="nextPage"/>
      <w:pgSz w:w="11906" w:h="16838" w:orient="portrait"/>
      <w:pgMar w:top="1440" w:right="1440" w:bottom="144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color w:val="8A8078"/>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color w:val="8A8078"/>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color w:val="2B2320"/>
        <w:sz w:val="22"/>
        <w:szCs w:val="22"/>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Times New Roman" w:hAnsi="Times New Roman"/>
      <w:b/>
      <w:bCs/>
      <w:color w:val="2B2320"/>
      <w:sz w:val="32"/>
      <w:szCs w:val="32"/>
    </w:rPr>
  </w:style>
  <w:style w:type="paragraph" w:styleId="Heading2">
    <w:name w:val="Heading 2"/>
    <w:basedOn w:val="Normal"/>
    <w:next w:val="Normal"/>
    <w:qFormat/>
    <w:pPr>
      <w:spacing w:after="120" w:before="280" w:line="312"/>
      <w:outlineLvl w:val="1"/>
    </w:pPr>
    <w:rPr>
      <w:rFonts w:ascii="Times New Roman" w:hAnsi="Times New Roman"/>
      <w:b/>
      <w:bCs/>
      <w:color w:val="7A5C48"/>
      <w:sz w:val="26"/>
      <w:szCs w:val="26"/>
    </w:rPr>
  </w:style>
  <w:style w:type="paragraph" w:styleId="Heading3">
    <w:name w:val="Heading 3"/>
    <w:basedOn w:val="Normal"/>
    <w:next w:val="Normal"/>
    <w:qFormat/>
    <w:pPr>
      <w:spacing w:after="100" w:before="220" w:line="312"/>
      <w:outlineLvl w:val="2"/>
    </w:pPr>
    <w:rPr>
      <w:rFonts w:ascii="Times New Roman" w:hAnsi="Times New Roman"/>
      <w:b/>
      <w:bCs/>
      <w:color w:val="2B2320"/>
      <w:sz w:val="23"/>
      <w:szCs w:val="23"/>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b3641810a87dd9da83d87eb3622fb71b3af1c6cc.png"/><Relationship Id="rId10" Type="http://schemas.openxmlformats.org/officeDocument/2006/relationships/image" Target="media/3d3e421480a0b49439b24954f2af614352c5091f.png"/><Relationship Id="rId11" Type="http://schemas.openxmlformats.org/officeDocument/2006/relationships/image" Target="media/0e9c6dbe3c44ba68a50b5aa34db892e3ee3424a5.png"/><Relationship Id="rId12" Type="http://schemas.openxmlformats.org/officeDocument/2006/relationships/image" Target="media/01cee4ae1083e639f07f33992873439be1e51bbe.png"/><Relationship Id="rId13" Type="http://schemas.openxmlformats.org/officeDocument/2006/relationships/image" Target="media/51d6c28fdf9b0244b8b7741d62cb1751dc0d4ae2.png"/><Relationship Id="rId14" Type="http://schemas.openxmlformats.org/officeDocument/2006/relationships/image" Target="media/e3f7e01ee39ade7320ae8c72b4b558c203b00c4b.png"/><Relationship Id="rId15" Type="http://schemas.openxmlformats.org/officeDocument/2006/relationships/image" Target="media/d15758c4121db3cb0ee438ca1cdde0c29fae029e.png"/><Relationship Id="rId16" Type="http://schemas.openxmlformats.org/officeDocument/2006/relationships/image" Target="media/000212428fe64fc44ce6359e503c8da06402d136.png"/><Relationship Id="rId17" Type="http://schemas.openxmlformats.org/officeDocument/2006/relationships/image" Target="media/c85ffebeb3833fdedf093ef53bf80d38a6d4bb72.png"/><Relationship Id="rId18" Type="http://schemas.openxmlformats.org/officeDocument/2006/relationships/image" Target="media/28ef070c77d90c82760e26398a7cbd6f79ff529a.png"/><Relationship Id="rId19" Type="http://schemas.openxmlformats.org/officeDocument/2006/relationships/image" Target="media/606f66021ae0b51735526beabd07811c58507ac4.png"/><Relationship Id="rId20" Type="http://schemas.openxmlformats.org/officeDocument/2006/relationships/image" Target="media/3b638dac327410ce9671d8cf46b8b78671db5a4b.png"/><Relationship Id="rId21" Type="http://schemas.openxmlformats.org/officeDocument/2006/relationships/image" Target="media/478855c882563254372ad8422c45b1d4e5600f80.png"/><Relationship Id="rId22" Type="http://schemas.openxmlformats.org/officeDocument/2006/relationships/image" Target="media/3df624af812c873e3005ccc0d9e413bd125dea3b.png"/><Relationship Id="rId23" Type="http://schemas.openxmlformats.org/officeDocument/2006/relationships/image" Target="media/08f598d591a0f77c0b38d9a4f985d7bde493ff0a.png"/><Relationship Id="rId24" Type="http://schemas.openxmlformats.org/officeDocument/2006/relationships/image" Target="media/fc99e041263076ea7cc084302c019e4ca2e1817d.png"/><Relationship Id="rId25" Type="http://schemas.openxmlformats.org/officeDocument/2006/relationships/image" Target="media/e1ad77683548e611707fd7d7876470810393c86a.png"/><Relationship Id="rId26" Type="http://schemas.openxmlformats.org/officeDocument/2006/relationships/image" Target="media/48182b783e99341fbc977e6040484136fd4c90d3.png"/><Relationship Id="rId27" Type="http://schemas.openxmlformats.org/officeDocument/2006/relationships/image" Target="media/caf2e6db16250d78c2e0e7ea568b1d97b37b0e91.png"/><Relationship Id="rId28" Type="http://schemas.openxmlformats.org/officeDocument/2006/relationships/image" Target="media/3632085bf19ca300beedbc3d0c14b9fca7b2db54.png"/><Relationship Id="rId29" Type="http://schemas.openxmlformats.org/officeDocument/2006/relationships/image" Target="media/85ccf5948fe1552b631a9543ff6e7d84b78b954b.png"/><Relationship Id="rId30" Type="http://schemas.openxmlformats.org/officeDocument/2006/relationships/image" Target="media/afa4e2fe03f4c3f592d36995d37787dc0dea32b2.png"/><Relationship Id="rId31" Type="http://schemas.openxmlformats.org/officeDocument/2006/relationships/image" Target="media/6b0160b46c287b4af5ae2a83cccab71757004fc4.png"/><Relationship Id="rId32" Type="http://schemas.openxmlformats.org/officeDocument/2006/relationships/image" Target="media/7149a2665a63462bb3c07859a9e3aa429c11b931.png"/><Relationship Id="rId33" Type="http://schemas.openxmlformats.org/officeDocument/2006/relationships/image" Target="media/69b5019874b666208555f40402a004f2e9b7c9d4.png"/><Relationship Id="rId34" Type="http://schemas.openxmlformats.org/officeDocument/2006/relationships/image" Target="media/5c9ca7c1a8d6410297a496b084feef0d71180047.png"/><Relationship Id="rId35" Type="http://schemas.openxmlformats.org/officeDocument/2006/relationships/image" Target="media/457ad7f126abb5dd2f3207a61376f50d58ad259b.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 Cloud Quantum Research: The Architecture That Reads Mathematics and Stores Nothing</dc:title>
  <dc:creator>AB Cloud Quantum Research</dc:creator>
  <dc:description>The Main Monograph of the Program · Version 1.0.0</dc:description>
  <cp:lastModifiedBy>Un-named</cp:lastModifiedBy>
  <cp:revision>1</cp:revision>
  <dcterms:created xsi:type="dcterms:W3CDTF">2026-10-12T04:04:20.483Z</dcterms:created>
  <dcterms:modified xsi:type="dcterms:W3CDTF">2026-10-12T04:04:20.483Z</dcterms:modified>
</cp:coreProperties>
</file>

<file path=docProps/custom.xml><?xml version="1.0" encoding="utf-8"?>
<Properties xmlns="http://schemas.openxmlformats.org/officeDocument/2006/custom-properties" xmlns:vt="http://schemas.openxmlformats.org/officeDocument/2006/docPropsVTypes"/>
</file>