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5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1906"/>
      </w:tblGrid>
      <w:tr>
        <w:trPr>
          <w:trHeight w:val="16838" w:hRule="exact"/>
        </w:trP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21B16" w:val="clear"/>
            <w:vAlign w:val="top"/>
          </w:tcPr>
          <w:p>
            <w:pPr>
              <w:spacing w:before="3799"/>
            </w:pPr>
          </w:p>
          <w:p>
            <w:pPr>
              <w:pBdr>
                <w:bottom w:val="single" w:color="C96F4A" w:sz="6" w:space="8"/>
              </w:pBdr>
              <w:spacing w:after="500"/>
              <w:ind w:left="1200" w:right="800"/>
            </w:pPr>
            <w:r>
              <w:rPr>
                <w:rFonts w:ascii="Calibri" w:hAnsi="Calibri"/>
                <w:color w:val="C96F4A"/>
                <w:sz w:val="18"/>
                <w:szCs w:val="18"/>
              </w:rPr>
              <w:t xml:space="preserve">R  E  S  E  A  R  C  H     P  R  O  G  R  A  M     ·     V  E  R  I  F  I  C  A  T  I  O  N</w:t>
            </w:r>
          </w:p>
          <w:p>
            <w:pPr>
              <w:spacing w:after="100" w:line="874" w:lineRule="atLeast"/>
              <w:ind w:left="1200"/>
            </w:pPr>
            <w:r>
              <w:rPr>
                <w:rFonts w:ascii="Times New Roman" w:hAnsi="Times New Roman"/>
                <w:b/>
                <w:bCs/>
                <w:color w:val="FFFFFF"/>
                <w:sz w:val="76"/>
                <w:szCs w:val="76"/>
              </w:rPr>
              <w:t xml:space="preserve">Исследовательская</w:t>
            </w:r>
          </w:p>
          <w:p>
            <w:pPr>
              <w:spacing w:after="100" w:line="874" w:lineRule="atLeast"/>
              <w:ind w:left="1200"/>
            </w:pPr>
            <w:r>
              <w:rPr>
                <w:rFonts w:ascii="Times New Roman" w:hAnsi="Times New Roman"/>
                <w:b/>
                <w:bCs/>
                <w:color w:val="FFFFFF"/>
                <w:sz w:val="76"/>
                <w:szCs w:val="76"/>
              </w:rPr>
              <w:t xml:space="preserve">программа: верификационная</w:t>
            </w:r>
          </w:p>
          <w:p>
            <w:pPr>
              <w:spacing w:after="300" w:line="874" w:lineRule="atLeast"/>
              <w:ind w:left="1200"/>
            </w:pPr>
            <w:r>
              <w:rPr>
                <w:rFonts w:ascii="Times New Roman" w:hAnsi="Times New Roman"/>
                <w:b/>
                <w:bCs/>
                <w:color w:val="FFFFFF"/>
                <w:sz w:val="76"/>
                <w:szCs w:val="76"/>
              </w:rPr>
              <w:t xml:space="preserve">платформа (E01–E18, O-J)</w:t>
            </w:r>
          </w:p>
          <w:p>
            <w:pPr>
              <w:spacing w:after="800"/>
              <w:ind w:left="1200"/>
            </w:pPr>
            <w:r>
              <w:rPr>
                <w:rFonts w:ascii="Times New Roman" w:hAnsi="Times New Roman"/>
                <w:color w:val="B8A99C"/>
                <w:sz w:val="24"/>
                <w:szCs w:val="24"/>
              </w:rPr>
              <w:t xml:space="preserve">Монография исследовательской программы · Версия 1.0.0</w:t>
            </w:r>
          </w:p>
          <w:p>
            <w:pPr>
              <w:pBdr>
                <w:left w:val="single" w:color="C96F4A" w:sz="8" w:space="12"/>
              </w:pBdr>
              <w:spacing w:after="80"/>
              <w:ind w:left="1400"/>
            </w:pPr>
            <w:r>
              <w:rPr>
                <w:rFonts w:ascii="Times New Roman" w:hAnsi="Times New Roman"/>
                <w:color w:val="D8CCC2"/>
                <w:sz w:val="24"/>
                <w:szCs w:val="24"/>
              </w:rPr>
              <w:t xml:space="preserve">Исаев Исхак Хамзатович · ORCID 0009-0003-7299-0701</w:t>
            </w:r>
          </w:p>
          <w:p>
            <w:pPr>
              <w:pBdr>
                <w:left w:val="single" w:color="C96F4A" w:sz="8" w:space="12"/>
              </w:pBdr>
              <w:spacing w:after="80"/>
              <w:ind w:left="1400"/>
            </w:pPr>
            <w:r>
              <w:rPr>
                <w:rFonts w:ascii="Times New Roman" w:hAnsi="Times New Roman"/>
                <w:color w:val="D8CCC2"/>
                <w:sz w:val="24"/>
                <w:szCs w:val="24"/>
              </w:rPr>
              <w:t xml:space="preserve">AB Cloud Quantum Research · DOI 10.5281/zenodo.21825394</w:t>
            </w:r>
          </w:p>
          <w:p>
            <w:pPr>
              <w:pBdr>
                <w:left w:val="single" w:color="C96F4A" w:sz="8" w:space="12"/>
              </w:pBdr>
              <w:spacing w:after="80"/>
              <w:ind w:left="1400"/>
            </w:pPr>
            <w:r>
              <w:rPr>
                <w:rFonts w:ascii="Times New Roman" w:hAnsi="Times New Roman"/>
                <w:color w:val="D8CCC2"/>
                <w:sz w:val="24"/>
                <w:szCs w:val="24"/>
              </w:rPr>
              <w:t xml:space="preserve">Стиль: Critical Line &amp; Copper</w:t>
            </w:r>
          </w:p>
          <w:p>
            <w:pPr>
              <w:spacing w:before="3799"/>
            </w:pPr>
          </w:p>
          <w:p>
            <w:pPr>
              <w:pBdr>
                <w:top w:val="single" w:color="C96F4A" w:sz="2" w:space="8"/>
              </w:pBdr>
              <w:tabs>
                <w:tab w:val="right" w:pos="9026"/>
              </w:tabs>
              <w:spacing w:before="200"/>
              <w:ind w:left="1200" w:right="800"/>
            </w:pPr>
            <w:r>
              <w:rPr>
                <w:rFonts w:ascii="Times New Roman" w:hAnsi="Times New Roman"/>
                <w:color w:val="8A7A6E"/>
                <w:sz w:val="16"/>
                <w:szCs w:val="16"/>
              </w:rPr>
              <w:t xml:space="preserve">AB CLOUD QUANTUM RESEARCH · v1.0.0</w:t>
            </w:r>
            <w:r>
              <w:t xml:space="preserve">	</w:t>
            </w:r>
            <w:r>
              <w:rPr>
                <w:rFonts w:ascii="Times New Roman" w:hAnsi="Times New Roman"/>
                <w:color w:val="8A7A6E"/>
                <w:sz w:val="16"/>
                <w:szCs w:val="16"/>
              </w:rPr>
              <w:t xml:space="preserve">2026 · PROPRIETARY</w:t>
            </w:r>
          </w:p>
        </w:tc>
      </w:tr>
    </w:tbl>
    <w:p>
      <w:pPr>
        <w:sectPr>
          <w:pgSz w:w="11906" w:h="16838" w:orient="portrait"/>
          <w:pgMar w:top="0" w:right="0" w:bottom="0" w:left="0" w:header="708" w:footer="708" w:gutter="0"/>
          <w:docGrid w:linePitch="360"/>
        </w:sectPr>
      </w:pPr>
    </w:p>
    <w:p>
      <w:pPr>
        <w:spacing w:after="360" w:before="480"/>
        <w:jc w:val="center"/>
      </w:pPr>
      <w:r>
        <w:rPr>
          <w:rFonts w:ascii="Times New Roman" w:hAnsi="Times New Roman"/>
          <w:b/>
          <w:bCs/>
          <w:color w:val="2B2320"/>
          <w:sz w:val="32"/>
          <w:szCs w:val="32"/>
        </w:rPr>
        <w:t xml:space="preserve">Оглавление</w:t>
      </w:r>
    </w:p>
    <w:sdt>
      <w:sdtPr>
        <w:alias w:val="Table of Contents"/>
      </w:sdtPr>
      <w:sdtContent>
        <w:p>
          <w:pPr>
            <w:pStyle w:val="TOC1"/>
            <w:tabs>
              <w:tab w:val="right" w:pos="9026" w:leader="dot"/>
            </w:tabs>
          </w:pPr>
          <w:r>
            <w:fldChar w:fldCharType="begin" w:dirty="true"/>
          </w:r>
          <w:r>
            <w:instrText xml:space="preserve">TOC \h \o "1-2"</w:instrText>
          </w:r>
          <w:r>
            <w:fldChar w:fldCharType="separate"/>
          </w:r>
          <w:hyperlink w:history="1" w:anchor="_Toc1">
            <w:r>
              <w:t xml:space="preserve">Исследовательская программа: верификационная платформа</w:t>
            </w:r>
            <w:r>
              <w:tab/>
            </w:r>
            <w:r>
              <w:fldChar w:fldCharType="begin" w:dirty="true"/>
              <w:instrText xml:space="preserve">PAGEREF _Toc1 \h</w:instrText>
              <w:fldChar w:fldCharType="separate"/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r>
            <w:t>Исследовательская программа: верификационная платформа</w:t>
          </w:r>
          <w:r>
            <w:tab/>
          </w:r>
          <w:r>
            <w:t>1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1. Цели программы</w:t>
          </w:r>
          <w:r>
            <w:tab/>
          </w:r>
          <w:r>
            <w:t>1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2. Методология</w:t>
          </w:r>
          <w:r>
            <w:tab/>
          </w:r>
          <w:r>
            <w:t>2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3. Исполненные кампании E01–E18</w:t>
          </w:r>
          <w:r>
            <w:tab/>
          </w:r>
          <w:r>
            <w:t>2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4. Дорожная карта O-J</w:t>
          </w:r>
          <w:r>
            <w:tab/>
          </w:r>
          <w:r>
            <w:t>2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5. Честные границы</w:t>
          </w:r>
          <w:r>
            <w:tab/>
          </w:r>
          <w:r>
            <w:t>3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6. Разбор ключевых кампаний</w:t>
          </w:r>
          <w:r>
            <w:tab/>
          </w:r>
          <w:r>
            <w:t>3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6.1. От инфраструктуры к флагманам</w:t>
          </w:r>
          <w:r>
            <w:tab/>
          </w:r>
          <w:r>
            <w:t>4</w:t>
          </w:r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00" w:history="1">
            <w:r>
              <w:rPr>
                <w:rStyle w:val="Hyperlink"/>
              </w:rPr>
              <w:t>E11 — слепой ζ-ридер</w:t>
            </w:r>
            <w:r>
              <w:tab/>
            </w:r>
            <w:r>
              <w:fldChar w:fldCharType="begin"/>
            </w:r>
            <w:r>
              <w:instrText xml:space="preserve"> PAGEREF _Toc100000 \h 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01" w:history="1">
            <w:r>
              <w:rPr>
                <w:rStyle w:val="Hyperlink"/>
              </w:rPr>
              <w:t>E16 — независимый Риман–Зигель</w:t>
            </w:r>
            <w:r>
              <w:tab/>
            </w:r>
            <w:r>
              <w:fldChar w:fldCharType="begin"/>
            </w:r>
            <w:r>
              <w:instrText xml:space="preserve"> PAGEREF _Toc100001 \h 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02" w:history="1">
            <w:r>
              <w:rPr>
                <w:rStyle w:val="Hyperlink"/>
              </w:rPr>
              <w:t>E17 — слепые нули T=1000</w:t>
            </w:r>
            <w:r>
              <w:tab/>
            </w:r>
            <w:r>
              <w:fldChar w:fldCharType="begin"/>
            </w:r>
            <w:r>
              <w:instrText xml:space="preserve"> PAGEREF _Toc100002 \h 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03" w:history="1">
            <w:r>
              <w:rPr>
                <w:rStyle w:val="Hyperlink"/>
              </w:rPr>
              <w:t>E18 — класс B</w:t>
            </w:r>
            <w:r>
              <w:tab/>
            </w:r>
            <w:r>
              <w:fldChar w:fldCharType="begin"/>
            </w:r>
            <w:r>
              <w:instrText xml:space="preserve"> PAGEREF _Toc100003 \h 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04" w:history="1">
            <w:r>
              <w:rPr>
                <w:rStyle w:val="Hyperlink"/>
              </w:rPr>
              <w:t>E12–E14 — оптика и нелокальность</w:t>
            </w:r>
            <w:r>
              <w:tab/>
            </w:r>
            <w:r>
              <w:fldChar w:fldCharType="begin"/>
            </w:r>
            <w:r>
              <w:instrText xml:space="preserve"> PAGEREF _Toc100004 \h </w:instrText>
            </w:r>
            <w:r>
              <w:fldChar w:fldCharType="separate"/>
            </w:r>
            <w:r>
              <w:t>5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7. Как воспроизвести</w:t>
          </w:r>
          <w:r>
            <w:tab/>
          </w:r>
          <w:r>
            <w:t>5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8. Пины и целостность</w:t>
          </w:r>
          <w:r>
            <w:tab/>
          </w:r>
          <w:r>
            <w:t>5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9. Что читать дальше</w:t>
          </w:r>
          <w:r>
            <w:tab/>
          </w:r>
          <w:r>
            <w:t>6</w:t>
          </w:r>
        </w:p>
        <w:p>
          <w:r>
            <w:fldChar w:fldCharType="end"/>
          </w:r>
        </w:p>
      </w:sdtContent>
    </w:sdt>
    <w:p>
      <w:pPr>
        <w:spacing w:before="200"/>
        <w:sectPr>
          <w:footerReference w:type="default" r:id="rId6"/>
          <w:type w:val="nextPage"/>
          <w:pgSz w:w="11906" w:h="16838" w:orient="portrait"/>
          <w:pgMar w:top="1440" w:right="1440" w:bottom="1440" w:left="1440" w:header="708" w:footer="708" w:gutter="0"/>
          <w:pgNumType w:start="1" w:fmt="upperRoman"/>
          <w:docGrid w:linePitch="360"/>
        </w:sectPr>
      </w:pPr>
      <w:r>
        <w:rPr>
          <w:rFonts w:ascii="Times New Roman" w:hAnsi="Times New Roman"/>
          <w:i/>
          <w:iCs/>
          <w:color w:val="888888"/>
          <w:sz w:val="18"/>
          <w:szCs w:val="18"/>
        </w:rPr>
        <w:t xml:space="preserve">Примечание: оглавление построено на полях Word. После редактирования щёлкните по оглавлению правой кнопкой и выберите «Обновить поле», чтобы обновить номера страниц.</w:t>
      </w:r>
    </w:p>
    <w:p>
      <w:pPr>
        <w:pStyle w:val="Heading1"/>
        <w:spacing w:after="160" w:before="360" w:line="312"/>
      </w:pPr>
      <w:bookmarkStart w:name="_Toc1" w:id="1"/>
      <w:r>
        <w:rPr>
          <w:rFonts w:ascii="Times New Roman" w:hAnsi="Times New Roman"/>
          <w:b/>
          <w:bCs/>
          <w:color w:val="2B2320"/>
          <w:sz w:val="32"/>
          <w:szCs w:val="32"/>
        </w:rPr>
        <w:t xml:space="preserve">Исследовательская программа: верификационная платформа</w:t>
      </w:r>
      <w:bookmarkEnd w:id="1"/>
    </w:p>
    <w:p>
      <w:pPr>
        <w:spacing w:after="160" w:line="312"/>
        <w:jc w:val="both"/>
      </w:pPr>
      <w:r>
        <w:rPr>
          <w:rFonts w:ascii="Times New Roman" w:hAnsi="Times New Roman"/>
          <w:color w:val="7A5C48"/>
          <w:sz w:val="23"/>
          <w:szCs w:val="23"/>
        </w:rPr>
        <w:t xml:space="preserve">Программа верификации — независимый судья программы: Julia-платформа без общего кода с ядром и процессором, слепые протоколы, SHA-пины, кросс-языковая репликация. Восемнадцать вердиктов PASS; следующая волна — QEC-память, цифровой двойник, интеграция.</w:t>
      </w:r>
    </w:p>
    <w:p>
      <w:pPr>
        <w:pStyle w:val="Heading2"/>
        <w:spacing w:after="120" w:before="280" w:line="312"/>
      </w:pPr>
      <w:bookmarkStart w:name="_Toc2" w:id="2"/>
      <w:r>
        <w:rPr>
          <w:rFonts w:ascii="Times New Roman" w:hAnsi="Times New Roman"/>
          <w:b/>
          <w:bCs/>
          <w:color w:val="7A5C48"/>
          <w:sz w:val="26"/>
          <w:szCs w:val="26"/>
        </w:rPr>
        <w:t xml:space="preserve">1. Цели программы</w:t>
      </w:r>
      <w:bookmarkEnd w:id="2"/>
    </w:p>
    <w:p>
      <w:pPr>
        <w:spacing w:after="60" w:line="312"/>
        <w:ind w:left="360" w:hanging="240"/>
        <w:jc w:val="left"/>
      </w:pPr>
      <w:r>
        <w:rPr>
          <w:rFonts w:ascii="Times New Roman" w:hAnsi="Times New Roman"/>
          <w:color w:val="2B2320"/>
          <w:sz w:val="22"/>
          <w:szCs w:val="22"/>
        </w:rPr>
        <w:t xml:space="preserve">•  </w:t>
      </w:r>
      <w:r>
        <w:rPr>
          <w:rFonts w:ascii="Times New Roman" w:hAnsi="Times New Roman"/>
          <w:color w:val="2B2320"/>
          <w:sz w:val="22"/>
          <w:szCs w:val="22"/>
        </w:rPr>
        <w:t xml:space="preserve">перепроверить ядро и процессор независимой реализацией;</w:t>
      </w:r>
    </w:p>
    <w:p>
      <w:pPr>
        <w:spacing w:after="60" w:line="312"/>
        <w:ind w:left="360" w:hanging="240"/>
        <w:jc w:val="left"/>
      </w:pPr>
      <w:r>
        <w:rPr>
          <w:rFonts w:ascii="Times New Roman" w:hAnsi="Times New Roman"/>
          <w:color w:val="2B2320"/>
          <w:sz w:val="22"/>
          <w:szCs w:val="22"/>
        </w:rPr>
        <w:t xml:space="preserve">•  </w:t>
      </w:r>
      <w:r>
        <w:rPr>
          <w:rFonts w:ascii="Times New Roman" w:hAnsi="Times New Roman"/>
          <w:color w:val="2B2320"/>
          <w:sz w:val="22"/>
          <w:szCs w:val="22"/>
        </w:rPr>
        <w:t xml:space="preserve">провести слепое чтение нулей ζ двумя движками до T = 1000;</w:t>
      </w:r>
    </w:p>
    <w:p>
      <w:pPr>
        <w:spacing w:after="60" w:line="312"/>
        <w:ind w:left="360" w:hanging="240"/>
        <w:jc w:val="left"/>
      </w:pPr>
      <w:r>
        <w:rPr>
          <w:rFonts w:ascii="Times New Roman" w:hAnsi="Times New Roman"/>
          <w:color w:val="2B2320"/>
          <w:sz w:val="22"/>
          <w:szCs w:val="22"/>
        </w:rPr>
        <w:t xml:space="preserve">•  </w:t>
      </w:r>
      <w:r>
        <w:rPr>
          <w:rFonts w:ascii="Times New Roman" w:hAnsi="Times New Roman"/>
          <w:color w:val="2B2320"/>
          <w:sz w:val="22"/>
          <w:szCs w:val="22"/>
        </w:rPr>
        <w:t xml:space="preserve">выполнить честный бенчмарк компилятора (класс B);</w:t>
      </w:r>
    </w:p>
    <w:p>
      <w:pPr>
        <w:spacing w:after="60" w:line="312"/>
        <w:ind w:left="360" w:hanging="240"/>
        <w:jc w:val="left"/>
      </w:pPr>
      <w:r>
        <w:rPr>
          <w:rFonts w:ascii="Times New Roman" w:hAnsi="Times New Roman"/>
          <w:color w:val="2B2320"/>
          <w:sz w:val="22"/>
          <w:szCs w:val="22"/>
        </w:rPr>
        <w:t xml:space="preserve">•  </w:t>
      </w:r>
      <w:r>
        <w:rPr>
          <w:rFonts w:ascii="Times New Roman" w:hAnsi="Times New Roman"/>
          <w:color w:val="2B2320"/>
          <w:sz w:val="22"/>
          <w:szCs w:val="22"/>
        </w:rPr>
        <w:t xml:space="preserve">построить QEC-слой и цифровой двойник машины.</w:t>
      </w:r>
    </w:p>
    <w:p>
      <w:pPr>
        <w:pStyle w:val="Heading2"/>
        <w:spacing w:after="120" w:before="280" w:line="312"/>
      </w:pPr>
      <w:bookmarkStart w:name="_Toc3" w:id="3"/>
      <w:r>
        <w:rPr>
          <w:rFonts w:ascii="Times New Roman" w:hAnsi="Times New Roman"/>
          <w:b/>
          <w:bCs/>
          <w:color w:val="7A5C48"/>
          <w:sz w:val="26"/>
          <w:szCs w:val="26"/>
        </w:rPr>
        <w:t xml:space="preserve">2. Методология</w:t>
      </w:r>
      <w:bookmarkEnd w:id="3"/>
    </w:p>
    <w:p>
      <w:pPr>
        <w:spacing w:after="120" w:line="312"/>
        <w:jc w:val="both"/>
      </w:pPr>
      <w:r>
        <w:rPr>
          <w:rFonts w:ascii="Times New Roman" w:hAnsi="Times New Roman"/>
          <w:color w:val="2B2320"/>
          <w:sz w:val="22"/>
          <w:szCs w:val="22"/>
        </w:rPr>
        <w:t xml:space="preserve">Детектор и валидатор разделены; выходы пинуются SHA256 до валидации; пороги предрегистрированы. Кросс-языковая репликация: Julia BigFloat ↔ Python mpmath (0.0 расхождений), numpy-реплики (0 расхождений счётчиков). Независимость реализации — принцип дизайна, а не обстоятельство.</w:t>
      </w:r>
    </w:p>
    <w:p>
      <w:pPr>
        <w:pStyle w:val="Heading2"/>
        <w:spacing w:after="120" w:before="280" w:line="312"/>
      </w:pPr>
      <w:bookmarkStart w:name="_Toc4" w:id="4"/>
      <w:r>
        <w:rPr>
          <w:rFonts w:ascii="Times New Roman" w:hAnsi="Times New Roman"/>
          <w:b/>
          <w:bCs/>
          <w:color w:val="7A5C48"/>
          <w:sz w:val="26"/>
          <w:szCs w:val="26"/>
        </w:rPr>
        <w:t xml:space="preserve">3. Исполненные кампании E01–E18</w:t>
      </w:r>
      <w:bookmarkEnd w:id="4"/>
    </w:p>
    <w:p>
      <w:pPr>
        <w:keepNext/>
        <w:spacing w:after="80" w:before="160"/>
        <w:jc w:val="center"/>
      </w:pPr>
      <w:r>
        <w:rPr>
          <w:rFonts w:ascii="Times New Roman" w:hAnsi="Times New Roman"/>
          <w:b/>
          <w:bCs/>
          <w:color w:val="7A5C48"/>
          <w:sz w:val="19"/>
          <w:szCs w:val="19"/>
        </w:rPr>
        <w:t xml:space="preserve">Таблица 3.3. Кампании верификации</w:t>
      </w:r>
    </w:p>
    <w:tbl>
      <w:tblPr>
        <w:tblW w:type="pct" w:w="5000"/>
        <w:tblBorders>
          <w:top w:val="single" w:color="7A5C48" w:sz="4"/>
          <w:left w:val="none" w:color="FFFFFF" w:sz="0"/>
          <w:bottom w:val="single" w:color="C9B8AC" w:sz="4"/>
          <w:right w:val="none" w:color="FFFFFF" w:sz="0"/>
          <w:insideH w:val="single" w:color="E4DAD2" w:sz="2"/>
          <w:insideV w:val="none" w:color="FFFFFF" w:sz="0"/>
        </w:tblBorders>
      </w:tblPr>
      <w:tblGrid>
        <w:gridCol w:w="1986"/>
        <w:gridCol w:w="1444"/>
        <w:gridCol w:w="5596"/>
      </w:tblGrid>
      <w:tr>
        <w:trPr>
          <w:cantSplit/>
          <w:tblHeader/>
        </w:trPr>
        <w:tc>
          <w:tcPr>
            <w:tcW w:type="pct" w:w="1100"/>
            <w:shd w:fill="7A5C4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/>
                <w:bCs/>
                <w:color w:val="FFFFFF"/>
                <w:sz w:val="18"/>
                <w:szCs w:val="18"/>
              </w:rPr>
              <w:t xml:space="preserve">Блок</w:t>
            </w:r>
          </w:p>
        </w:tc>
        <w:tc>
          <w:tcPr>
            <w:tcW w:type="pct" w:w="800"/>
            <w:shd w:fill="7A5C4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/>
                <w:bCs/>
                <w:color w:val="FFFFFF"/>
                <w:sz w:val="18"/>
                <w:szCs w:val="18"/>
              </w:rPr>
              <w:t xml:space="preserve">Кампании</w:t>
            </w:r>
          </w:p>
        </w:tc>
        <w:tc>
          <w:tcPr>
            <w:tcW w:type="pct" w:w="3100"/>
            <w:shd w:fill="7A5C4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/>
                <w:bCs/>
                <w:color w:val="FFFFFF"/>
                <w:sz w:val="18"/>
                <w:szCs w:val="18"/>
              </w:rPr>
              <w:t xml:space="preserve">Ключевые результаты</w:t>
            </w:r>
          </w:p>
        </w:tc>
      </w:tr>
      <w:tr>
        <w:trPr>
          <w:cantSplit/>
        </w:trPr>
        <w:tc>
          <w:tcPr>
            <w:tcW w:type="pct" w:w="11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инфраструктура</w:t>
            </w:r>
          </w:p>
        </w:tc>
        <w:tc>
          <w:tcPr>
            <w:tcW w:type="pct" w:w="8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E01–E10</w:t>
            </w:r>
          </w:p>
        </w:tc>
        <w:tc>
          <w:tcPr>
            <w:tcW w:type="pct" w:w="31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контроли, Haar, масштабирование, реплеи, шумы, код, АЛУ, стоимость, считывание</w:t>
            </w:r>
          </w:p>
        </w:tc>
      </w:tr>
      <w:tr>
        <w:trPr>
          <w:cantSplit/>
        </w:trPr>
        <w:tc>
          <w:tcPr>
            <w:tcW w:type="pct" w:w="1100"/>
            <w:shd w:fill="F7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чтение ζ</w:t>
            </w:r>
          </w:p>
        </w:tc>
        <w:tc>
          <w:tcPr>
            <w:tcW w:type="pct" w:w="800"/>
            <w:shd w:fill="F7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E11</w:t>
            </w:r>
          </w:p>
        </w:tc>
        <w:tc>
          <w:tcPr>
            <w:tcW w:type="pct" w:w="3100"/>
            <w:shd w:fill="F7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слепой ζ-ридер: пины, валидация, ноль утечек</w:t>
            </w:r>
          </w:p>
        </w:tc>
      </w:tr>
      <w:tr>
        <w:trPr>
          <w:cantSplit/>
        </w:trPr>
        <w:tc>
          <w:tcPr>
            <w:tcW w:type="pct" w:w="11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оптика/нелокальность</w:t>
            </w:r>
          </w:p>
        </w:tc>
        <w:tc>
          <w:tcPr>
            <w:tcW w:type="pct" w:w="8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E12–E14</w:t>
            </w:r>
          </w:p>
        </w:tc>
        <w:tc>
          <w:tcPr>
            <w:tcW w:type="pct" w:w="31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интерферометр; no-signaling; CHSH</w:t>
            </w:r>
          </w:p>
        </w:tc>
      </w:tr>
      <w:tr>
        <w:trPr>
          <w:cantSplit/>
        </w:trPr>
        <w:tc>
          <w:tcPr>
            <w:tcW w:type="pct" w:w="1100"/>
            <w:shd w:fill="F7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классификация</w:t>
            </w:r>
          </w:p>
        </w:tc>
        <w:tc>
          <w:tcPr>
            <w:tcW w:type="pct" w:w="800"/>
            <w:shd w:fill="F7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E15</w:t>
            </w:r>
          </w:p>
        </w:tc>
        <w:tc>
          <w:tcPr>
            <w:tcW w:type="pct" w:w="3100"/>
            <w:shd w:fill="F7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топологическая абляция</w:t>
            </w:r>
          </w:p>
        </w:tc>
      </w:tr>
      <w:tr>
        <w:trPr>
          <w:cantSplit/>
        </w:trPr>
        <w:tc>
          <w:tcPr>
            <w:tcW w:type="pct" w:w="11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движки</w:t>
            </w:r>
          </w:p>
        </w:tc>
        <w:tc>
          <w:tcPr>
            <w:tcW w:type="pct" w:w="8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E16</w:t>
            </w:r>
          </w:p>
        </w:tc>
        <w:tc>
          <w:tcPr>
            <w:tcW w:type="pct" w:w="31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независимый Риман–Зигель: ≤ 3.8e−15</w:t>
            </w:r>
          </w:p>
        </w:tc>
      </w:tr>
      <w:tr>
        <w:trPr>
          <w:cantSplit/>
        </w:trPr>
        <w:tc>
          <w:tcPr>
            <w:tcW w:type="pct" w:w="1100"/>
            <w:shd w:fill="F7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флагман</w:t>
            </w:r>
          </w:p>
        </w:tc>
        <w:tc>
          <w:tcPr>
            <w:tcW w:type="pct" w:w="800"/>
            <w:shd w:fill="F7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E17</w:t>
            </w:r>
          </w:p>
        </w:tc>
        <w:tc>
          <w:tcPr>
            <w:tcW w:type="pct" w:w="3100"/>
            <w:shd w:fill="F7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слепые нули: 649/649 + 639/639; кросс-движок 0.0; N(1000) = 649.0</w:t>
            </w:r>
          </w:p>
        </w:tc>
      </w:tr>
      <w:tr>
        <w:trPr>
          <w:cantSplit/>
        </w:trPr>
        <w:tc>
          <w:tcPr>
            <w:tcW w:type="pct" w:w="11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бенчмарк</w:t>
            </w:r>
          </w:p>
        </w:tc>
        <w:tc>
          <w:tcPr>
            <w:tcW w:type="pct" w:w="8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E18</w:t>
            </w:r>
          </w:p>
        </w:tc>
        <w:tc>
          <w:tcPr>
            <w:tcW w:type="pct" w:w="31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класс B: ×59 000; 2q KAK вне класса (10 против 3)</w:t>
            </w:r>
          </w:p>
        </w:tc>
      </w:tr>
    </w:tbl>
    <w:p>
      <w:pPr>
        <w:spacing w:after="120"/>
      </w:pPr>
    </w:p>
    <w:p>
      <w:pPr>
        <w:pStyle w:val="Heading2"/>
        <w:spacing w:after="120" w:before="280" w:line="312"/>
      </w:pPr>
      <w:bookmarkStart w:name="_Toc5" w:id="5"/>
      <w:r>
        <w:rPr>
          <w:rFonts w:ascii="Times New Roman" w:hAnsi="Times New Roman"/>
          <w:b/>
          <w:bCs/>
          <w:color w:val="7A5C48"/>
          <w:sz w:val="26"/>
          <w:szCs w:val="26"/>
        </w:rPr>
        <w:t xml:space="preserve">4. Дорожная карта O-J</w:t>
      </w:r>
      <w:bookmarkEnd w:id="5"/>
    </w:p>
    <w:p>
      <w:pPr>
        <w:spacing w:after="60" w:line="312"/>
        <w:ind w:left="360" w:hanging="240"/>
        <w:jc w:val="left"/>
      </w:pPr>
      <w:r>
        <w:rPr>
          <w:rFonts w:ascii="Times New Roman" w:hAnsi="Times New Roman"/>
          <w:color w:val="2B2320"/>
          <w:sz w:val="22"/>
          <w:szCs w:val="22"/>
        </w:rPr>
        <w:t xml:space="preserve">•  </w:t>
      </w:r>
      <w:r>
        <w:rPr>
          <w:rFonts w:ascii="Times New Roman" w:hAnsi="Times New Roman"/>
          <w:color w:val="2B2320"/>
          <w:sz w:val="22"/>
          <w:szCs w:val="22"/>
        </w:rPr>
        <w:t xml:space="preserve">O-J1 исполнено: слепое чтение до T = 1000 (E16–E17);</w:t>
      </w:r>
    </w:p>
    <w:p>
      <w:pPr>
        <w:spacing w:after="60" w:line="312"/>
        <w:ind w:left="360" w:hanging="240"/>
        <w:jc w:val="left"/>
      </w:pPr>
      <w:r>
        <w:rPr>
          <w:rFonts w:ascii="Times New Roman" w:hAnsi="Times New Roman"/>
          <w:color w:val="2B2320"/>
          <w:sz w:val="22"/>
          <w:szCs w:val="22"/>
        </w:rPr>
        <w:t xml:space="preserve">•  </w:t>
      </w:r>
      <w:r>
        <w:rPr>
          <w:rFonts w:ascii="Times New Roman" w:hAnsi="Times New Roman"/>
          <w:color w:val="2B2320"/>
          <w:sz w:val="22"/>
          <w:szCs w:val="22"/>
        </w:rPr>
        <w:t xml:space="preserve">O-J2 исполнено: класс B (E18);</w:t>
      </w:r>
    </w:p>
    <w:p>
      <w:pPr>
        <w:spacing w:after="60" w:line="312"/>
        <w:ind w:left="360" w:hanging="240"/>
        <w:jc w:val="left"/>
      </w:pPr>
      <w:r>
        <w:rPr>
          <w:rFonts w:ascii="Times New Roman" w:hAnsi="Times New Roman"/>
          <w:color w:val="2B2320"/>
          <w:sz w:val="22"/>
          <w:szCs w:val="22"/>
        </w:rPr>
        <w:t xml:space="preserve">•  </w:t>
      </w:r>
      <w:r>
        <w:rPr>
          <w:rFonts w:ascii="Times New Roman" w:hAnsi="Times New Roman"/>
          <w:color w:val="2B2320"/>
          <w:sz w:val="22"/>
          <w:szCs w:val="22"/>
        </w:rPr>
        <w:t xml:space="preserve">O-J3: QEC-память — опирается на E07 и V21;</w:t>
      </w:r>
    </w:p>
    <w:p>
      <w:pPr>
        <w:spacing w:after="60" w:line="312"/>
        <w:ind w:left="360" w:hanging="240"/>
        <w:jc w:val="left"/>
      </w:pPr>
      <w:r>
        <w:rPr>
          <w:rFonts w:ascii="Times New Roman" w:hAnsi="Times New Roman"/>
          <w:color w:val="2B2320"/>
          <w:sz w:val="22"/>
          <w:szCs w:val="22"/>
        </w:rPr>
        <w:t xml:space="preserve">•  </w:t>
      </w:r>
      <w:r>
        <w:rPr>
          <w:rFonts w:ascii="Times New Roman" w:hAnsi="Times New Roman"/>
          <w:color w:val="2B2320"/>
          <w:sz w:val="22"/>
          <w:szCs w:val="22"/>
        </w:rPr>
        <w:t xml:space="preserve">O-J4: цифровой двойник процессора;</w:t>
      </w:r>
    </w:p>
    <w:p>
      <w:pPr>
        <w:spacing w:after="60" w:line="312"/>
        <w:ind w:left="360" w:hanging="240"/>
        <w:jc w:val="left"/>
      </w:pPr>
      <w:r>
        <w:rPr>
          <w:rFonts w:ascii="Times New Roman" w:hAnsi="Times New Roman"/>
          <w:color w:val="2B2320"/>
          <w:sz w:val="22"/>
          <w:szCs w:val="22"/>
        </w:rPr>
        <w:t xml:space="preserve">•  </w:t>
      </w:r>
      <w:r>
        <w:rPr>
          <w:rFonts w:ascii="Times New Roman" w:hAnsi="Times New Roman"/>
          <w:color w:val="2B2320"/>
          <w:sz w:val="22"/>
          <w:szCs w:val="22"/>
        </w:rPr>
        <w:t xml:space="preserve">O-J5: интеграционная кампания; целевые высоты T существенно больше 1000.</w:t>
      </w:r>
    </w:p>
    <w:p>
      <w:pPr>
        <w:pStyle w:val="Heading2"/>
        <w:spacing w:after="120" w:before="280" w:line="312"/>
      </w:pPr>
      <w:bookmarkStart w:name="_Toc6" w:id="6"/>
      <w:r>
        <w:rPr>
          <w:rFonts w:ascii="Times New Roman" w:hAnsi="Times New Roman"/>
          <w:b/>
          <w:bCs/>
          <w:color w:val="7A5C48"/>
          <w:sz w:val="26"/>
          <w:szCs w:val="26"/>
        </w:rPr>
        <w:t xml:space="preserve">5. Честные границы</w:t>
      </w:r>
      <w:bookmarkEnd w:id="6"/>
    </w:p>
    <w:p>
      <w:pPr>
        <w:spacing w:after="120" w:line="312"/>
        <w:jc w:val="both"/>
      </w:pPr>
      <w:r>
        <w:rPr>
          <w:rFonts w:ascii="Times New Roman" w:hAnsi="Times New Roman"/>
          <w:color w:val="2B2320"/>
          <w:sz w:val="22"/>
          <w:szCs w:val="22"/>
        </w:rPr>
        <w:t xml:space="preserve">E17 не доказывает RH выше T = 1000, простоту всех нулей и отсутствие нулей вне прямой при γ &gt; 1000. E18 не заявляет превосходства вне ISA-класса. Слепой эрратум γ₁₂ показал, что ошибка может жить в каркасе, а не в детекторе — поэтому эталоны тоже проверяются.</w:t>
      </w:r>
    </w:p>
    <w:p>
      <w:pPr>
        <w:pStyle w:val="Heading2"/>
        <w:spacing w:after="120" w:before="280" w:line="312"/>
      </w:pPr>
      <w:bookmarkStart w:name="_Toc7" w:id="7"/>
      <w:r>
        <w:rPr>
          <w:rFonts w:ascii="Times New Roman" w:hAnsi="Times New Roman"/>
          <w:b/>
          <w:bCs/>
          <w:color w:val="7A5C48"/>
          <w:sz w:val="26"/>
          <w:szCs w:val="26"/>
        </w:rPr>
        <w:t xml:space="preserve">6. Разбор ключевых кампаний</w:t>
      </w:r>
      <w:bookmarkEnd w:id="7"/>
    </w:p>
    <w:p>
      <w:pPr>
        <w:pStyle w:val="Heading2"/>
        <w:spacing w:after="120" w:before="280" w:line="312"/>
      </w:pPr>
      <w:bookmarkStart w:name="_Toc8" w:id="8"/>
      <w:r>
        <w:rPr>
          <w:rFonts w:ascii="Times New Roman" w:hAnsi="Times New Roman"/>
          <w:b/>
          <w:bCs/>
          <w:color w:val="7A5C48"/>
          <w:sz w:val="26"/>
          <w:szCs w:val="26"/>
        </w:rPr>
        <w:t xml:space="preserve">6.1. От инфраструктуры к флагманам</w:t>
      </w:r>
      <w:bookmarkEnd w:id="8"/>
    </w:p>
    <w:p>
      <w:pPr>
        <w:pStyle w:val="Heading3"/>
        <w:spacing w:after="100" w:before="220" w:line="312"/>
      </w:pPr>
      <w:bookmarkStart w:id="100000" w:name="_Toc100000"/>
      <w:r>
        <w:rPr>
          <w:rFonts w:ascii="Times New Roman" w:hAnsi="Times New Roman"/>
          <w:b/>
          <w:bCs/>
          <w:color w:val="2B2320"/>
          <w:sz w:val="23"/>
          <w:szCs w:val="23"/>
        </w:rPr>
        <w:t xml:space="preserve">E11 — слепой ζ-ридер</w:t>
      </w:r>
      <w:bookmarkEnd w:id="100000"/>
    </w:p>
    <w:p>
      <w:pPr>
        <w:spacing w:after="120" w:line="312"/>
        <w:jc w:val="both"/>
      </w:pPr>
      <w:r>
        <w:rPr>
          <w:rFonts w:ascii="Times New Roman" w:hAnsi="Times New Roman"/>
          <w:color w:val="2B2320"/>
          <w:sz w:val="22"/>
          <w:szCs w:val="22"/>
        </w:rPr>
        <w:t xml:space="preserve">Первый полный слепой протокол платформы: детектор без доступа к эталону, пинование SHA256, валидация после фиксации. Кампания отработала саму механику слепоты на живой задаче — чтение нулей меньшей высоты — и показала ноль утечек. Все последующие слепые протоколы (E16, E17) наследуют её схему.</w:t>
      </w:r>
    </w:p>
    <w:p>
      <w:pPr>
        <w:pStyle w:val="Heading3"/>
        <w:spacing w:after="100" w:before="220" w:line="312"/>
      </w:pPr>
      <w:bookmarkStart w:id="100001" w:name="_Toc100001"/>
      <w:r>
        <w:rPr>
          <w:rFonts w:ascii="Times New Roman" w:hAnsi="Times New Roman"/>
          <w:b/>
          <w:bCs/>
          <w:color w:val="2B2320"/>
          <w:sz w:val="23"/>
          <w:szCs w:val="23"/>
        </w:rPr>
        <w:t xml:space="preserve">E16 — независимый Риман–Зигель</w:t>
      </w:r>
      <w:bookmarkEnd w:id="100001"/>
    </w:p>
    <w:p>
      <w:pPr>
        <w:spacing w:after="120" w:line="312"/>
        <w:jc w:val="both"/>
      </w:pPr>
      <w:r>
        <w:rPr>
          <w:rFonts w:ascii="Times New Roman" w:hAnsi="Times New Roman"/>
          <w:color w:val="2B2320"/>
          <w:sz w:val="22"/>
          <w:szCs w:val="22"/>
        </w:rPr>
        <w:t xml:space="preserve">Реализация формулы Римана–Зигеля (версия Ариаса де Рейны) без внешних пакетов: главная сумма плюс интегральная поправка. Согласие с эталоном ≤ 3.8e−15 при пороге 1e−9; пол ошибки 1e−17. Смысл: платформа владеет вторым независимым движком вычисления Z(t), не зависящим от явного метода.</w:t>
      </w:r>
    </w:p>
    <w:p>
      <w:pPr>
        <w:pStyle w:val="Heading3"/>
        <w:spacing w:after="100" w:before="220" w:line="312"/>
      </w:pPr>
      <w:bookmarkStart w:id="100002" w:name="_Toc100002"/>
      <w:r>
        <w:rPr>
          <w:rFonts w:ascii="Times New Roman" w:hAnsi="Times New Roman"/>
          <w:b/>
          <w:bCs/>
          <w:color w:val="2B2320"/>
          <w:sz w:val="23"/>
          <w:szCs w:val="23"/>
        </w:rPr>
        <w:t xml:space="preserve">E17 — слепые нули T=1000</w:t>
      </w:r>
      <w:bookmarkEnd w:id="100002"/>
    </w:p>
    <w:p>
      <w:pPr>
        <w:spacing w:after="120" w:line="312"/>
        <w:jc w:val="both"/>
      </w:pPr>
      <w:r>
        <w:rPr>
          <w:rFonts w:ascii="Times New Roman" w:hAnsi="Times New Roman"/>
          <w:color w:val="2B2320"/>
          <w:sz w:val="22"/>
          <w:szCs w:val="22"/>
        </w:rPr>
        <w:t xml:space="preserve">Флагман платформы: два независимых детектора читают нули до T = 1000 без доступа к эталону; 649/649 (ЭМ) и 639/639 (РС), кросс-движок 0.0 побитово, N(1000) = 649.0 точно, устойчивость к сдвигу сетки — 0. Слепой эрратум γ₁₂ встроен как негативный контроль: детектор опроверг рукотворную константу каркаса. Vердикт честно фиксирует: RH выше T = 1000 не доказывается.</w:t>
      </w:r>
    </w:p>
    <w:p>
      <w:pPr>
        <w:pStyle w:val="Heading3"/>
        <w:spacing w:after="100" w:before="220" w:line="312"/>
      </w:pPr>
      <w:bookmarkStart w:id="100003" w:name="_Toc100003"/>
      <w:r>
        <w:rPr>
          <w:rFonts w:ascii="Times New Roman" w:hAnsi="Times New Roman"/>
          <w:b/>
          <w:bCs/>
          <w:color w:val="2B2320"/>
          <w:sz w:val="23"/>
          <w:szCs w:val="23"/>
        </w:rPr>
        <w:t xml:space="preserve">E18 — класс B</w:t>
      </w:r>
      <w:bookmarkEnd w:id="100003"/>
    </w:p>
    <w:p>
      <w:pPr>
        <w:spacing w:after="120" w:line="312"/>
        <w:jc w:val="both"/>
      </w:pPr>
      <w:r>
        <w:rPr>
          <w:rFonts w:ascii="Times New Roman" w:hAnsi="Times New Roman"/>
          <w:color w:val="2B2320"/>
          <w:sz w:val="22"/>
          <w:szCs w:val="22"/>
        </w:rPr>
        <w:t xml:space="preserve">Честный бенчмарк компилятора: один ISA, один критерий, пять сильных baseline. Итог: ×59 000 по времени при равной точности; 2q-граница 10 против KAK-оптимума 3 — вне класса, заявлено явно. numpy-репликация: 0 расхождений счётчиков. Методология E18 становится стандартом P5 процессорной дорожной карты.</w:t>
      </w:r>
    </w:p>
    <w:p>
      <w:pPr>
        <w:pStyle w:val="Heading3"/>
        <w:spacing w:after="100" w:before="220" w:line="312"/>
      </w:pPr>
      <w:bookmarkStart w:id="100004" w:name="_Toc100004"/>
      <w:r>
        <w:rPr>
          <w:rFonts w:ascii="Times New Roman" w:hAnsi="Times New Roman"/>
          <w:b/>
          <w:bCs/>
          <w:color w:val="2B2320"/>
          <w:sz w:val="23"/>
          <w:szCs w:val="23"/>
        </w:rPr>
        <w:t xml:space="preserve">E12–E14 — оптика и нелокальность</w:t>
      </w:r>
      <w:bookmarkEnd w:id="100004"/>
    </w:p>
    <w:p>
      <w:pPr>
        <w:spacing w:after="120" w:line="312"/>
        <w:jc w:val="both"/>
      </w:pPr>
      <w:r>
        <w:rPr>
          <w:rFonts w:ascii="Times New Roman" w:hAnsi="Times New Roman"/>
          <w:color w:val="2B2320"/>
          <w:sz w:val="22"/>
          <w:szCs w:val="22"/>
        </w:rPr>
        <w:t xml:space="preserve">Блок интерферометрии и нелокальности: интерферометр (E12), отсутствие сигналинга (E13), CHSH (E14). Эти кампании независимо подтверждают превью V24 процессора и дают независимую оценку корреляций распределённых облаков.</w:t>
      </w:r>
    </w:p>
    <w:p>
      <w:pPr>
        <w:pStyle w:val="Heading2"/>
        <w:spacing w:after="120" w:before="280" w:line="312"/>
      </w:pPr>
      <w:bookmarkStart w:name="_Toc9" w:id="9"/>
      <w:r>
        <w:rPr>
          <w:rFonts w:ascii="Times New Roman" w:hAnsi="Times New Roman"/>
          <w:b/>
          <w:bCs/>
          <w:color w:val="7A5C48"/>
          <w:sz w:val="26"/>
          <w:szCs w:val="26"/>
        </w:rPr>
        <w:t xml:space="preserve">7. Как воспроизвести</w:t>
      </w:r>
      <w:bookmarkEnd w:id="9"/>
    </w:p>
    <w:p>
      <w:pPr>
        <w:shd w:fill="FAF6F3" w:val="clear"/>
        <w:spacing w:after="0" w:line="240"/>
        <w:ind w:left="360"/>
        <w:jc w:val="left"/>
      </w:pPr>
      <w:r>
        <w:rPr>
          <w:rFonts w:ascii="Courier New" w:hAnsi="Courier New"/>
          <w:color w:val="2B2320"/>
          <w:sz w:val="15"/>
          <w:szCs w:val="15"/>
        </w:rPr>
        <w:t xml:space="preserve">julia modules/verifier_multilang/experiments/run_all.jl all   # E01–E18 (~2.5 мин)</w:t>
      </w:r>
    </w:p>
    <w:p>
      <w:pPr>
        <w:shd w:fill="FAF6F3" w:val="clear"/>
        <w:spacing w:after="0" w:line="240"/>
        <w:ind w:left="360"/>
        <w:jc w:val="left"/>
      </w:pPr>
      <w:r>
        <w:rPr>
          <w:rFonts w:ascii="Courier New" w:hAnsi="Courier New"/>
          <w:color w:val="2B2320"/>
          <w:sz w:val="15"/>
          <w:szCs w:val="15"/>
        </w:rPr>
        <w:t xml:space="preserve">julia modules/verifier_multilang/experiments/verdicts.jl      # сводка вердиктов</w:t>
      </w:r>
    </w:p>
    <w:p>
      <w:pPr>
        <w:shd w:fill="FAF6F3" w:val="clear"/>
        <w:spacing w:after="140" w:line="240"/>
        <w:ind w:left="360"/>
        <w:jc w:val="left"/>
      </w:pPr>
      <w:r>
        <w:rPr>
          <w:rFonts w:ascii="Courier New" w:hAnsi="Courier New"/>
          <w:color w:val="2B2320"/>
          <w:sz w:val="15"/>
          <w:szCs w:val="15"/>
        </w:rPr>
        <w:t xml:space="preserve"># пины и результаты: modules/verifier_multilang/results/</w:t>
      </w:r>
    </w:p>
    <w:p>
      <w:pPr>
        <w:pStyle w:val="Heading2"/>
        <w:spacing w:after="120" w:before="280" w:line="312"/>
      </w:pPr>
      <w:bookmarkStart w:name="_Toc10" w:id="10"/>
      <w:r>
        <w:rPr>
          <w:rFonts w:ascii="Times New Roman" w:hAnsi="Times New Roman"/>
          <w:b/>
          <w:bCs/>
          <w:color w:val="7A5C48"/>
          <w:sz w:val="26"/>
          <w:szCs w:val="26"/>
        </w:rPr>
        <w:t xml:space="preserve">8. Пины и целостность</w:t>
      </w:r>
      <w:bookmarkEnd w:id="10"/>
    </w:p>
    <w:p>
      <w:pPr>
        <w:spacing w:after="120" w:line="312"/>
        <w:jc w:val="both"/>
      </w:pPr>
      <w:r>
        <w:rPr>
          <w:rFonts w:ascii="Times New Roman" w:hAnsi="Times New Roman"/>
          <w:color w:val="2B2320"/>
          <w:sz w:val="22"/>
          <w:szCs w:val="22"/>
        </w:rPr>
        <w:t xml:space="preserve">Каждый слепой выход пинован SHA256 до валидации: e17_detector_em.csv, e17_detector_rs.csv, e11_detector_output.csv, эталон e17_zetazero_reference.csv. Файлы пинов лежат рядом с данными; валидатор пакета пересчитывает хеши при каждой сборке. Смена пина после валидации невозможна без следа в истории.</w:t>
      </w:r>
    </w:p>
    <w:p>
      <w:pPr>
        <w:pStyle w:val="Heading2"/>
        <w:spacing w:after="120" w:before="280" w:line="312"/>
      </w:pPr>
      <w:bookmarkStart w:name="_Toc11" w:id="11"/>
      <w:r>
        <w:rPr>
          <w:rFonts w:ascii="Times New Roman" w:hAnsi="Times New Roman"/>
          <w:b/>
          <w:bCs/>
          <w:color w:val="7A5C48"/>
          <w:sz w:val="26"/>
          <w:szCs w:val="26"/>
        </w:rPr>
        <w:t xml:space="preserve">9. Что читать дальше</w:t>
      </w:r>
      <w:bookmarkEnd w:id="11"/>
    </w:p>
    <w:p>
      <w:pPr>
        <w:spacing w:after="60" w:line="312"/>
        <w:ind w:left="360" w:hanging="240"/>
        <w:jc w:val="left"/>
      </w:pPr>
      <w:r>
        <w:rPr>
          <w:rFonts w:ascii="Times New Roman" w:hAnsi="Times New Roman"/>
          <w:color w:val="2B2320"/>
          <w:sz w:val="22"/>
          <w:szCs w:val="22"/>
        </w:rPr>
        <w:t xml:space="preserve">•  </w:t>
      </w:r>
      <w:r>
        <w:rPr>
          <w:rFonts w:ascii="Times New Roman" w:hAnsi="Times New Roman"/>
          <w:color w:val="2B2320"/>
          <w:sz w:val="22"/>
          <w:szCs w:val="22"/>
        </w:rPr>
        <w:t xml:space="preserve">протоколы: experiments/experiment_01_15.md;</w:t>
      </w:r>
    </w:p>
    <w:p>
      <w:pPr>
        <w:spacing w:after="60" w:line="312"/>
        <w:ind w:left="360" w:hanging="240"/>
        <w:jc w:val="left"/>
      </w:pPr>
      <w:r>
        <w:rPr>
          <w:rFonts w:ascii="Times New Roman" w:hAnsi="Times New Roman"/>
          <w:color w:val="2B2320"/>
          <w:sz w:val="22"/>
          <w:szCs w:val="22"/>
        </w:rPr>
        <w:t xml:space="preserve">•  </w:t>
      </w:r>
      <w:r>
        <w:rPr>
          <w:rFonts w:ascii="Times New Roman" w:hAnsi="Times New Roman"/>
          <w:color w:val="2B2320"/>
          <w:sz w:val="22"/>
          <w:szCs w:val="22"/>
        </w:rPr>
        <w:t xml:space="preserve">мастер-вердикты: results/verdicts_master.json;</w:t>
      </w:r>
    </w:p>
    <w:p>
      <w:pPr>
        <w:spacing w:after="60" w:line="312"/>
        <w:ind w:left="360" w:hanging="240"/>
        <w:jc w:val="left"/>
      </w:pPr>
      <w:r>
        <w:rPr>
          <w:rFonts w:ascii="Times New Roman" w:hAnsi="Times New Roman"/>
          <w:color w:val="2B2320"/>
          <w:sz w:val="22"/>
          <w:szCs w:val="22"/>
        </w:rPr>
        <w:t xml:space="preserve">•  </w:t>
      </w:r>
      <w:r>
        <w:rPr>
          <w:rFonts w:ascii="Times New Roman" w:hAnsi="Times New Roman"/>
          <w:color w:val="2B2320"/>
          <w:sz w:val="22"/>
          <w:szCs w:val="22"/>
        </w:rPr>
        <w:t xml:space="preserve">кросс-языковая валидация: results/cross_language_validation.md;</w:t>
      </w:r>
    </w:p>
    <w:p>
      <w:pPr>
        <w:spacing w:after="60" w:line="312"/>
        <w:ind w:left="360" w:hanging="240"/>
        <w:jc w:val="left"/>
      </w:pPr>
      <w:r>
        <w:rPr>
          <w:rFonts w:ascii="Times New Roman" w:hAnsi="Times New Roman"/>
          <w:color w:val="2B2320"/>
          <w:sz w:val="22"/>
          <w:szCs w:val="22"/>
        </w:rPr>
        <w:t xml:space="preserve">•  </w:t>
      </w:r>
      <w:r>
        <w:rPr>
          <w:rFonts w:ascii="Times New Roman" w:hAnsi="Times New Roman"/>
          <w:color w:val="2B2320"/>
          <w:sz w:val="22"/>
          <w:szCs w:val="22"/>
        </w:rPr>
        <w:t xml:space="preserve">ограничения и происхождение: PROVENANCE_AND_LIMITATIONS.md.</w:t>
      </w:r>
    </w:p>
    <w:sectPr>
      <w:footerReference w:type="default" r:id="rId7"/>
      <w:type w:val="nextPage"/>
      <w:pgSz w:w="11906" w:h="16838" w:orient="portrait"/>
      <w:pgMar w:top="1440" w:right="1440" w:bottom="1440" w:left="1440" w:header="708" w:footer="708" w:gutter="0"/>
      <w:pgNumType w:start="1" w:fmt="decimal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hAnsi="Times New Roman"/>
        <w:color w:val="8A8078"/>
        <w:sz w:val="18"/>
        <w:szCs w:val="18"/>
      </w:rPr>
      <w:fldChar w:fldCharType="begin"/>
      <w:instrText xml:space="preserve"> PAGE \* ROMAN \* MERGEFORMAT 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hAnsi="Times New Roman"/>
        <w:color w:val="8A8078"/>
        <w:sz w:val="18"/>
        <w:szCs w:val="18"/>
      </w:rPr>
      <w:fldChar w:fldCharType="begin"/>
      <w:instrText xml:space="preserve"> PAGE \* arabic \* MERGEFORMAT 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hAnsi="Times New Roman"/>
        <w:color w:val="2B2320"/>
        <w:sz w:val="22"/>
        <w:szCs w:val="22"/>
      </w:rPr>
    </w:rPrDefault>
    <w:pPrDefault>
      <w:pPr>
        <w:spacing w:line="312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60" w:before="360" w:line="312"/>
      <w:outlineLvl w:val="0"/>
    </w:pPr>
    <w:rPr>
      <w:rFonts w:ascii="Times New Roman" w:hAnsi="Times New Roman"/>
      <w:b/>
      <w:bCs/>
      <w:color w:val="2B232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 w:line="312"/>
      <w:outlineLvl w:val="1"/>
    </w:pPr>
    <w:rPr>
      <w:rFonts w:ascii="Times New Roman" w:hAnsi="Times New Roman"/>
      <w:b/>
      <w:bCs/>
      <w:color w:val="7A5C48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20" w:line="312"/>
      <w:outlineLvl w:val="2"/>
    </w:pPr>
    <w:rPr>
      <w:rFonts w:ascii="Times New Roman" w:hAnsi="Times New Roman"/>
      <w:b/>
      <w:bCs/>
      <w:color w:val="2B2320"/>
      <w:sz w:val="23"/>
      <w:szCs w:val="23"/>
    </w:rPr>
  </w:style>
  <w:style w:type="paragraph" w:styleId="Heading4">
    <w:pPr>
      <w:outlineLvl w:val="3"/>
    </w:pPr>
    <w:name w:val="Heading 4"/>
    <w:basedOn w:val="Normal"/>
    <w:next w:val="Normal"/>
    <w:qFormat/>
    <w:rPr>
      <w:i/>
      <w:iCs/>
      <w:color w:val="2E74B5"/>
    </w:rPr>
  </w:style>
  <w:style w:type="paragraph" w:styleId="Heading5">
    <w:pPr>
      <w:outlineLvl w:val="4"/>
    </w:pPr>
    <w:name w:val="Heading 5"/>
    <w:basedOn w:val="Normal"/>
    <w:next w:val="Normal"/>
    <w:qFormat/>
    <w:rPr>
      <w:color w:val="2E74B5"/>
    </w:rPr>
  </w:style>
  <w:style w:type="paragraph" w:styleId="Heading6">
    <w:pPr>
      <w:outlineLvl w:val="5"/>
    </w:pPr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xmlns:w="http://schemas.openxmlformats.org/wordprocessingml/2006/main" w:type="paragraph" w:styleId="9">
    <w:name w:val="toc 1"/>
    <w:basedOn w:val="Normal"/>
    <w:uiPriority w:val="39"/>
    <w:pPr>
      <w:tabs>
        <w:tab w:val="right" w:leader="dot" w:pos="9026"/>
      </w:tabs>
      <w:spacing w:before="120" w:after="60"/>
    </w:pPr>
    <w:rPr>
      <w:b/>
      <w:bCs/>
    </w:rPr>
  </w:style>
  <w:style xmlns:w="http://schemas.openxmlformats.org/wordprocessingml/2006/main" w:type="paragraph" w:styleId="11">
    <w:name w:val="toc 2"/>
    <w:basedOn w:val="Normal"/>
    <w:uiPriority w:val="39"/>
    <w:pPr>
      <w:tabs>
        <w:tab w:val="right" w:leader="dot" w:pos="9026"/>
      </w:tabs>
      <w:ind w:left="360"/>
      <w:spacing w:before="60" w:after="40"/>
    </w:pPr>
  </w:style>
  <w:style xmlns:w="http://schemas.openxmlformats.org/wordprocessingml/2006/main" w:type="paragraph" w:styleId="12">
    <w:name w:val="toc 3"/>
    <w:basedOn w:val="Normal"/>
    <w:uiPriority w:val="39"/>
    <w:pPr>
      <w:tabs>
        <w:tab w:val="right" w:leader="dot" w:pos="9026"/>
      </w:tabs>
      <w:ind w:left="720"/>
      <w:spacing w:before="40" w:after="20"/>
    </w:p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footer" Target="footer2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Исследовательская программа: верификационная платформа (E01–E18, O-J)</dc:title>
  <dc:creator>AB Cloud Quantum Research</dc:creator>
  <dc:description>Монография исследовательской программы · Версия 1.0.0</dc:description>
  <cp:lastModifiedBy>Un-named</cp:lastModifiedBy>
  <cp:revision>1</cp:revision>
  <dcterms:created xsi:type="dcterms:W3CDTF">2026-10-12T04:04:21.822Z</dcterms:created>
  <dcterms:modified xsi:type="dcterms:W3CDTF">2026-10-12T04:04:21.822Z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