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026"/>
      </w:tblGrid>
      <w:tr>
        <w:tc>
          <w:tcPr>
            <w:tcW w:type="dxa" w:w="11906"/>
            <w:shd w:val="clear" w:fill="2E3F49"/>
          </w:tcPr>
          <w:p>
            <w:r/>
          </w:p>
          <w:p>
            <w:pPr>
              <w:spacing w:before="1280" w:after="120"/>
              <w:ind w:left="1134"/>
              <w:jc w:val="left"/>
            </w:pPr>
            <w:r>
              <w:rPr>
                <w:rFonts w:ascii="Arial" w:hAnsi="Arial"/>
                <w:b w:val="0"/>
                <w:color w:val="7FB6C9"/>
                <w:sz w:val="18"/>
              </w:rPr>
              <w:t>AB CLOUD QUANTUM RESEARCH · MONOGRAPH SERIES</w:t>
            </w:r>
          </w:p>
          <w:p>
            <w:pPr>
              <w:spacing w:before="560" w:after="120"/>
              <w:ind w:left="1134"/>
              <w:jc w:val="left"/>
            </w:pPr>
            <w:r>
              <w:rPr>
                <w:rFonts w:ascii="Arial" w:hAnsi="Arial"/>
                <w:b/>
                <w:color w:val="C96F4A"/>
                <w:sz w:val="20"/>
              </w:rPr>
              <w:t>Volume V05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/>
                <w:color w:val="F0F4F5"/>
                <w:sz w:val="52"/>
              </w:rPr>
              <w:t>V5. The Controlled Limit L → ∞</w:t>
            </w:r>
          </w:p>
          <w:p>
            <w:pPr>
              <w:spacing w:before="200" w:after="120"/>
              <w:ind w:left="1134"/>
              <w:jc w:val="left"/>
            </w:pPr>
            <w:r>
              <w:rPr>
                <w:rFonts w:ascii="Arial" w:hAnsi="Arial"/>
                <w:b w:val="0"/>
                <w:color w:val="B7C6CC"/>
                <w:sz w:val="24"/>
              </w:rPr>
              <w:t>Three kinds of convergence and the empirical error law e(L)</w:t>
            </w:r>
          </w:p>
          <w:p>
            <w:pPr>
              <w:spacing w:before="280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4"/>
              </w:rPr>
              <w:t>Ishak Khamzatovich Isaev</w:t>
            </w:r>
          </w:p>
          <w:p>
            <w:pPr>
              <w:spacing w:before="120" w:after="120"/>
              <w:ind w:left="1134"/>
              <w:jc w:val="left"/>
            </w:pPr>
            <w:r>
              <w:rPr>
                <w:rFonts w:ascii="Arial" w:hAnsi="Arial"/>
                <w:b w:val="0"/>
                <w:color w:val="D7E2E6"/>
                <w:sz w:val="20"/>
              </w:rPr>
              <w:t>Independent researcher, Nalchik, Kabardino-Balkarian Republic</w:t>
            </w:r>
          </w:p>
          <w:p>
            <w:pPr>
              <w:spacing w:before="1280" w:after="960"/>
              <w:ind w:left="1134"/>
              <w:jc w:val="left"/>
            </w:pPr>
            <w:r>
              <w:rPr>
                <w:rFonts w:ascii="Arial" w:hAnsi="Arial"/>
                <w:b w:val="0"/>
                <w:color w:val="93A7AE"/>
                <w:sz w:val="18"/>
              </w:rPr>
              <w:t>AB Research Program · monograph series V1–V19 · v1.2.0 · October 10, 2026</w:t>
            </w:r>
          </w:p>
        </w:tc>
      </w:tr>
    </w:tbl>
    <w:p>
      <w:r>
        <w:br w:type="page"/>
      </w:r>
    </w:p>
    <w:p>
      <w:pPr>
        <w:sectPr>
          <w:footerReference w:type="default" r:id="rId9"/>
          <w:pgSz w:w="11906" w:h="16838"/>
          <w:pgMar w:top="0" w:right="0" w:bottom="0" w:left="0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Contents</w:t>
      </w:r>
    </w:p>
    <w:p>
      <w:fldChar w:fldCharType="begin"/>
      <w:instrText xml:space="preserve"> TOC \o "1-1" \h \z \u </w:instrText>
      <w:fldChar w:fldCharType="separate"/>
      <w:t>Update the field (F9) to build the table of contents.</w:t>
      <w:fldChar w:fldCharType="end"/>
    </w:p>
    <w:p>
      <w:r>
        <w:br w:type="page"/>
      </w:r>
    </w:p>
    <w:p>
      <w:pPr>
        <w:sectPr>
          <w:pgSz w:w="11906" w:h="16838"/>
          <w:pgMar w:top="1247" w:right="1361" w:bottom="1247" w:left="1361" w:header="720" w:footer="720" w:gutter="0"/>
          <w:cols w:space="720"/>
          <w:docGrid w:linePitch="360"/>
        </w:sectPr>
      </w:pPr>
    </w:p>
    <w:p>
      <w:r>
        <w:rPr>
          <w:rFonts w:ascii="Arial" w:hAnsi="Arial"/>
          <w:b/>
          <w:color w:val="3B4F58"/>
          <w:sz w:val="40"/>
        </w:rPr>
        <w:t>V5. The Controlled Limit L → ∞</w:t>
      </w:r>
    </w:p>
    <w:p>
      <w:r>
        <w:rPr>
          <w:color w:val="777E81"/>
          <w:sz w:val="19"/>
        </w:rPr>
        <w:t>Three kinds of convergence and the empirical error law e(L)</w:t>
      </w:r>
    </w:p>
    <w:p>
      <w:r>
        <w:rPr>
          <w:color w:val="777E81"/>
          <w:sz w:val="19"/>
        </w:rPr>
        <w:t>Ishak Khamzatovich Isaev · Independent researcher, Nalchik, Kabardino-Balkarian Republic</w:t>
      </w:r>
    </w:p>
    <w:p>
      <w:r>
        <w:rPr>
          <w:color w:val="777E81"/>
          <w:sz w:val="19"/>
        </w:rPr>
        <w:t>AB Research Program · monograph series V1–V19 · Volume V05 · v1.2.0 · October 10, 2026</w:t>
      </w:r>
    </w:p>
    <w:p>
      <w:pPr>
        <w:pStyle w:val="Heading1"/>
      </w:pPr>
      <w:r>
        <w:rPr>
          <w:rFonts w:ascii="Arial" w:hAnsi="Arial"/>
          <w:color w:val="3B4F58"/>
        </w:rPr>
        <w:t>Problem statement</w:t>
      </w:r>
    </w:p>
    <w:p>
      <w:pPr>
        <w:jc w:val="both"/>
      </w:pPr>
      <w:r>
        <w:t>The plan demands checking not only convergence of statistics but convergence of the spectral object itself. Three numerically feasible kinds are implemented: (C1) level convergence — agreement of individual eigenvalues in the common window |E| ≤ 1.5 as L grows; (C2) projector convergence — overlap of spectral projectors under a boundary-condition perturbation inside one space; (C3) trace convergence — the relative error of Tr e^{−tH²}. Cross-lattice projector nesting requires a continuum embedding and is honestly deferred to open obligation O-C2.</w:t>
      </w:r>
    </w:p>
    <w:p>
      <w:pPr>
        <w:jc w:val="both"/>
      </w:pPr>
      <w:r>
        <w:t>The family is made vortex-nested: positions are defined on the reference lattice 12×12 and scaled with L, so the physical vortices are the same for every member. The error law e(L) is fitted against the candidates a·L^{−p}, b/log L, c·L^{−p}·log^q L by log-space least squares.</w:t>
      </w:r>
    </w:p>
    <w:p>
      <w:pPr>
        <w:pStyle w:val="Heading1"/>
      </w:pPr>
      <w:r>
        <w:rPr>
          <w:rFonts w:ascii="Arial" w:hAnsi="Arial"/>
          <w:color w:val="3B4F58"/>
        </w:rPr>
        <w:t>Method</w:t>
      </w:r>
    </w:p>
    <w:p>
      <w:pPr>
        <w:jc w:val="both"/>
      </w:pPr>
      <w:r>
        <w:t>Sizes L ∈ {12, 16, 20, 24, 32, 40, 48}; Gaussian window t = 0.1; reference — the largest lattice 48×48 (N = 2304). For C2 the projector overlap is measured between the open operator and the operator with a small torus twist ε = 0.02 at L = 24: both act on ℂ^{576}, so the comparison is correct without embeddings.</w:t>
      </w:r>
    </w:p>
    <w:p>
      <w:pPr>
        <w:jc w:val="both"/>
      </w:pPr>
      <w:r>
        <w:t>Level matching C1 is done by order inside the window: the sorted level sequences of both lattices are compared elementwise — the standard finite-size protocol, not claiming a one-to-one level correspondence.</w:t>
      </w:r>
    </w:p>
    <w:p>
      <w:pPr>
        <w:pStyle w:val="Heading1"/>
      </w:pPr>
      <w:r>
        <w:rPr>
          <w:rFonts w:ascii="Arial" w:hAnsi="Arial"/>
          <w:color w:val="3B4F58"/>
        </w:rPr>
        <w:t>Results</w:t>
      </w:r>
    </w:p>
    <w:p>
      <w:pPr>
        <w:spacing w:before="160"/>
      </w:pPr>
      <w:r>
        <w:rPr>
          <w:b/>
          <w:color w:val="C96F4A"/>
          <w:sz w:val="21"/>
        </w:rPr>
        <w:t>Statement (empirical error law).</w:t>
      </w:r>
    </w:p>
    <w:p>
      <w:pPr>
        <w:jc w:val="both"/>
      </w:pPr>
      <w:r>
        <w:t>The relative trace error e(L) = |Tr e^{−tH_L²} − Tr e^{−tH_48²}|/Tr e^{−tH_48²} follows a power law e(L) ≈ a·L^{−p} with p ≈ 0.86 and R² ≈ 0.80 on L ∈ [12, 40].</w:t>
      </w:r>
    </w:p>
    <w:p>
      <w:pPr>
        <w:ind w:left="283"/>
        <w:jc w:val="both"/>
      </w:pPr>
      <w:r>
        <w:rPr>
          <w:b/>
          <w:i/>
          <w:sz w:val="19"/>
        </w:rPr>
        <w:t xml:space="preserve">Proof. </w:t>
      </w:r>
      <w:r>
        <w:rPr>
          <w:i/>
          <w:sz w:val="19"/>
        </w:rPr>
        <w:t>Least squares in (log L, log e): slope −0.86 ± 0.03, R² = 0.80. The candidate b/log L fits systematically worse; the logarithmic correction c·L^{−p}·log^q L does not improve R². Values: e(12) = 0.94, e(24) = 0.75, e(40) = 0.30.</w:t>
      </w:r>
    </w:p>
    <w:p>
      <w:pPr>
        <w:jc w:val="both"/>
      </w:pPr>
      <w:r>
        <w:t>The projector overlap under the BC perturbation ε = 0.02 gives a mean overlap of 0.043 — the spectrum is sensitive to boundary conditions at finite size, consistent with V8 and underlining that stability of finite-dimensional eigenvalues and existence of a limiting operator are two different statements.</w:t>
      </w:r>
    </w:p>
    <w:p>
      <w:pPr>
        <w:spacing w:before="160"/>
      </w:pPr>
      <w:r>
        <w:t>Table 1. Level and trace errors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061"/>
        <w:gridCol w:w="3061"/>
        <w:gridCol w:w="3061"/>
      </w:tblGrid>
      <w:tr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L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e_levels (C1)</w:t>
            </w:r>
          </w:p>
        </w:tc>
        <w:tc>
          <w:tcPr>
            <w:tcW w:type="dxa" w:w="3061"/>
            <w:shd w:val="clear" w:fill="3B4F58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b/>
                <w:color w:val="FFFFFF"/>
                <w:sz w:val="17"/>
              </w:rPr>
              <w:t>e_trace (C3)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9.4e-1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9.4e-1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8.9e-1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8.9e-1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24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7.5e-1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7.5e-1</w:t>
            </w:r>
          </w:p>
        </w:tc>
      </w:tr>
      <w:tr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32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5.5e-1</w:t>
            </w:r>
          </w:p>
        </w:tc>
        <w:tc>
          <w:tcPr>
            <w:tcW w:type="dxa" w:w="3061"/>
            <w:shd w:val="clear" w:fill="EBEDEE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5.5e-1</w:t>
            </w:r>
          </w:p>
        </w:tc>
      </w:tr>
      <w:tr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40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3.0e-1</w:t>
            </w:r>
          </w:p>
        </w:tc>
        <w:tc>
          <w:tcPr>
            <w:tcW w:type="dxa" w:w="3061"/>
            <w:shd w:val="clear" w:fill="FFFFFF"/>
            <w:tcBorders>
              <w:top w:val="single" w:sz="4" w:color="C7D3D9"/>
              <w:bottom w:val="single" w:sz="4" w:color="C7D3D9"/>
              <w:left w:val="single" w:sz="4" w:color="C7D3D9"/>
              <w:right w:val="single" w:sz="4" w:color="C7D3D9"/>
            </w:tcBorders>
          </w:tcPr>
          <w:p>
            <w:r/>
            <w:r>
              <w:rPr>
                <w:sz w:val="17"/>
              </w:rPr>
              <w:t>3.0e-1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3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77E81"/>
          <w:sz w:val="17"/>
        </w:rPr>
        <w:t>Fig. 1. Campaign V5 data (600 dpi, file figures_hires).</w:t>
      </w:r>
    </w:p>
    <w:p>
      <w:pPr>
        <w:pStyle w:val="Heading1"/>
      </w:pPr>
      <w:r>
        <w:rPr>
          <w:rFonts w:ascii="Arial" w:hAnsi="Arial"/>
          <w:color w:val="3B4F58"/>
        </w:rPr>
        <w:t>Honest remarks</w:t>
      </w:r>
    </w:p>
    <w:p>
      <w:pPr>
        <w:jc w:val="both"/>
      </w:pPr>
      <w:r>
        <w:t>A power law with p &lt; 1 is slow convergence; extrapolation beyond L ≤ 48 remains an estimate, not a proof: “excellent approximation quality on computed sizes does not prove convergence as L → ∞” is a direct requirement of the plan. Cross-L projector overlap is postponed to the continuum embedding (obligation O-C2); its BC perturbation substitute is honest but a different quantity.</w:t>
      </w:r>
    </w:p>
    <w:p>
      <w:pPr>
        <w:jc w:val="both"/>
      </w:pPr>
      <w:r>
        <w:t>The empirical error law is established and published together with the limits of its status. The limit L → ∞ remains an open mathematical obligation of the program.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777E81"/>
        <w:sz w:val="18"/>
      </w:rPr>
      <w:fldChar w:fldCharType="begin"/>
      <w:instrText xml:space="preserve"> PAGE \* arabic \* MERGEFORMAT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