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026"/>
      </w:tblGrid>
      <w:tr>
        <w:tc>
          <w:tcPr>
            <w:tcW w:type="dxa" w:w="11906"/>
            <w:shd w:val="clear" w:fill="2E3F49"/>
          </w:tcPr>
          <w:p>
            <w:r/>
          </w:p>
          <w:p>
            <w:pPr>
              <w:spacing w:before="1280" w:after="120"/>
              <w:ind w:left="1134"/>
              <w:jc w:val="left"/>
            </w:pPr>
            <w:r>
              <w:rPr>
                <w:rFonts w:ascii="Arial" w:hAnsi="Arial"/>
                <w:b w:val="0"/>
                <w:color w:val="7FB6C9"/>
                <w:sz w:val="18"/>
              </w:rPr>
              <w:t>AB CLOUD QUANTUM RESEARCH · СЕРИЯ МОНОГРАФИЙ</w:t>
            </w:r>
          </w:p>
          <w:p>
            <w:pPr>
              <w:spacing w:before="560" w:after="120"/>
              <w:ind w:left="1134"/>
              <w:jc w:val="left"/>
            </w:pPr>
            <w:r>
              <w:rPr>
                <w:rFonts w:ascii="Arial" w:hAnsi="Arial"/>
                <w:b/>
                <w:color w:val="C96F4A"/>
                <w:sz w:val="20"/>
              </w:rPr>
              <w:t>Том Th2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/>
                <w:color w:val="F0F4F5"/>
                <w:sz w:val="52"/>
              </w:rPr>
              <w:t>Th2. Самосопряжённость</w:t>
            </w:r>
          </w:p>
          <w:p>
            <w:pPr>
              <w:spacing w:before="200" w:after="120"/>
              <w:ind w:left="1134"/>
              <w:jc w:val="left"/>
            </w:pPr>
            <w:r>
              <w:rPr>
                <w:rFonts w:ascii="Arial" w:hAnsi="Arial"/>
                <w:b w:val="0"/>
                <w:color w:val="B7C6CC"/>
                <w:sz w:val="24"/>
              </w:rPr>
              <w:t>Th1–Th6: эрмитовость, самосопряжённость, сертификаты, спектральная формула Ли, блочная редукция, следовая формула Гуинанда–Вейля</w:t>
            </w:r>
          </w:p>
          <w:p>
            <w:pPr>
              <w:spacing w:before="280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4"/>
              </w:rPr>
              <w:t>Исаев Исхак Хамзатович</w:t>
            </w:r>
          </w:p>
          <w:p>
            <w:pPr>
              <w:spacing w:before="120" w:after="120"/>
              <w:ind w:left="1134"/>
              <w:jc w:val="left"/>
            </w:pPr>
            <w:r>
              <w:rPr>
                <w:rFonts w:ascii="Arial" w:hAnsi="Arial"/>
                <w:b w:val="0"/>
                <w:color w:val="D7E2E6"/>
                <w:sz w:val="20"/>
              </w:rPr>
              <w:t>Независимый исследователь, г. Нальчик, Кабардино-Балкарская Республика</w:t>
            </w:r>
          </w:p>
          <w:p>
            <w:pPr>
              <w:spacing w:before="1280" w:after="960"/>
              <w:ind w:left="1134"/>
              <w:jc w:val="left"/>
            </w:pPr>
            <w:r>
              <w:rPr>
                <w:rFonts w:ascii="Arial" w:hAnsi="Arial"/>
                <w:b w:val="0"/>
                <w:color w:val="93A7AE"/>
                <w:sz w:val="18"/>
              </w:rPr>
              <w:t>AB Research Program · серия монографий V1–V19 · v1.2.0 · 10 октября 2026</w:t>
            </w:r>
          </w:p>
        </w:tc>
      </w:tr>
    </w:tbl>
    <w:p>
      <w:r>
        <w:br w:type="page"/>
      </w:r>
    </w:p>
    <w:p>
      <w:pPr>
        <w:sectPr>
          <w:footerReference w:type="default" r:id="rId9"/>
          <w:pgSz w:w="11906" w:h="16838"/>
          <w:pgMar w:top="0" w:right="0" w:bottom="0" w:left="0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Содержание</w:t>
      </w:r>
    </w:p>
    <w:p>
      <w:fldChar w:fldCharType="begin"/>
      <w:instrText xml:space="preserve"> TOC \o "1-1" \h \z \u </w:instrText>
      <w:fldChar w:fldCharType="separate"/>
      <w:t>Обновите поле (F9), чтобы собрать оглавление.</w:t>
      <w:fldChar w:fldCharType="end"/>
    </w:p>
    <w:p>
      <w:r>
        <w:br w:type="page"/>
      </w:r>
    </w:p>
    <w:p>
      <w:pPr>
        <w:sectPr>
          <w:pgSz w:w="11906" w:h="16838"/>
          <w:pgMar w:top="1247" w:right="1361" w:bottom="1247" w:left="1361" w:header="720" w:footer="720" w:gutter="0"/>
          <w:cols w:space="720"/>
          <w:docGrid w:linePitch="360"/>
        </w:sectPr>
      </w:pPr>
    </w:p>
    <w:p>
      <w:r>
        <w:rPr>
          <w:rFonts w:ascii="Arial" w:hAnsi="Arial"/>
          <w:b/>
          <w:color w:val="3B4F58"/>
          <w:sz w:val="40"/>
        </w:rPr>
        <w:t>Th2. Самосопряжённость</w:t>
      </w:r>
    </w:p>
    <w:p>
      <w:r>
        <w:rPr>
          <w:color w:val="777E81"/>
          <w:sz w:val="19"/>
        </w:rPr>
        <w:t>Th1–Th6: эрмитовость, самосопряжённость, сертификаты, спектральная формула Ли, блочная редукция, следовая формула Гуинанда–Вейля</w:t>
      </w:r>
    </w:p>
    <w:p>
      <w:r>
        <w:rPr>
          <w:color w:val="777E81"/>
          <w:sz w:val="19"/>
        </w:rPr>
        <w:t>Исаев Исхак Хамзатович · Независимый исследователь, г. Нальчик, Кабардино-Балкарская Республика</w:t>
      </w:r>
    </w:p>
    <w:p>
      <w:r>
        <w:rPr>
          <w:color w:val="777E81"/>
          <w:sz w:val="19"/>
        </w:rPr>
        <w:t>AB Research Program · серия монографий V1–V19 · Том Th2 · v1.2.0 · 10 октября 2026</w:t>
      </w:r>
    </w:p>
    <w:p>
      <w:pPr>
        <w:pStyle w:val="Heading1"/>
      </w:pPr>
      <w:r>
        <w:rPr>
          <w:rFonts w:ascii="Arial" w:hAnsi="Arial"/>
          <w:color w:val="3B4F58"/>
        </w:rPr>
        <w:t>Th2. Конечномерная самосопряжённость</w:t>
      </w:r>
    </w:p>
    <w:p>
      <w:pPr>
        <w:spacing w:before="160"/>
      </w:pPr>
      <w:r>
        <w:rPr>
          <w:b/>
          <w:color w:val="C96F4A"/>
          <w:sz w:val="21"/>
        </w:rPr>
        <w:t>Теорема Th2 (V8).</w:t>
      </w:r>
    </w:p>
    <w:p>
      <w:pPr>
        <w:jc w:val="both"/>
      </w:pPr>
      <w:r>
        <w:t>Симметричный оператор на ℂ^N существенно самосопряжён: дефектные индексы (0, 0); e^{−iHt} унитарен; Im⟨ψ, Hψ⟩ = 0.</w:t>
      </w:r>
    </w:p>
    <w:p>
      <w:pPr>
        <w:ind w:left="283"/>
        <w:jc w:val="both"/>
      </w:pPr>
      <w:r>
        <w:rPr>
          <w:b/>
          <w:i/>
          <w:sz w:val="19"/>
        </w:rPr>
        <w:t xml:space="preserve">Доказательство. </w:t>
      </w:r>
      <w:r>
        <w:rPr>
          <w:i/>
          <w:sz w:val="19"/>
        </w:rPr>
        <w:t>На ℂ^N всякий симметричный ограниченный оператор самосопряжён: D(H) = ℂ^N, и дефектные пространства ker(H* − iI), ker(H* + iI) пусты, поскольку ‖(H ∓ iI)ψ‖² = ‖Hψ‖² + ‖ψ‖² ≥ ‖ψ‖² &gt; 0 (кросс-член исчезает по симметрии). Следствия: спектр вещественен, e^{−iHt} — унитарная группа, форма ⟨ψ, Hψ⟩ вещественна. Численно: минимальное сингулярное число H − iI равно 3.9 (теория: √(1 + min‖Hψ‖²) ≥ 1), дрейф унитарности e^{−iHt} — 2.2e-16 за 1000 шагов. Предельная часть (L → ∞, существенная самосопряжённость неограниченного оператора) — открытое обязательство O03.</w:t>
      </w:r>
    </w:p>
    <w:p>
      <w:pPr>
        <w:pStyle w:val="Heading1"/>
      </w:pPr>
      <w:r>
        <w:rPr>
          <w:rFonts w:ascii="Arial" w:hAnsi="Arial"/>
          <w:color w:val="3B4F58"/>
        </w:rPr>
        <w:t>Th2.1 Сертификат и границы</w:t>
      </w:r>
    </w:p>
    <w:p>
      <w:pPr>
        <w:jc w:val="both"/>
      </w:pPr>
      <w:r>
        <w:t>Сертификат: test_th2_selfadjoint.py проверяет три эквивалентных проявления самосопряжённости — пустоту дефектов, унитарность динамики и вещественность формы — на затворе протокола; все три выполнены с машинными полами. Практическое значение: унитарность e^{−iHt} — фундамент кампаний динамики (V17): сохранение энергии 1.8e-15 в V17 — прямое следствие Th2. Разрыв «конечномерно доказано / предел открыт» зафиксирован честно: в бесконечномерной задаче симметричности недостаточно, нужны граничные условия (открытые границы естественны, но строгая сходимость резонансов — открытая проблема программы).</w:t>
      </w:r>
    </w:p>
    <w:p>
      <w:pPr>
        <w:jc w:val="both"/>
      </w:pPr>
      <w:r>
        <w:t>Границы: теорема конечномерна; перенос на L → ∞ требует оценки существенного спектра и резонансной геометрии — см. O03 в DAG обязательств.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color w:val="777E81"/>
        <w:sz w:val="18"/>
      </w:rPr>
      <w:fldChar w:fldCharType="begin"/>
      <w:instrText xml:space="preserve"> PAGE \* arabic \* MERGEFORMAT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