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F49" w:val="clear"/>
            <w:vAlign w:val="top"/>
          </w:tcPr>
          <w:p>
            <w:pPr>
              <w:spacing w:before="4847"/>
            </w:pPr>
          </w:p>
          <w:p>
            <w:pPr>
              <w:pBdr>
                <w:bottom w:val="single" w:color="298BBC" w:sz="6" w:space="8"/>
              </w:pBdr>
              <w:spacing w:after="500"/>
              <w:ind w:left="1100" w:right="900"/>
            </w:pPr>
            <w:r>
              <w:rPr>
                <w:rFonts w:ascii="Arial" w:eastAsia="Arial" w:hAnsi="Arial"/>
                <w:color w:val="298BBC"/>
                <w:spacing w:val="40"/>
                <w:sz w:val="19"/>
                <w:szCs w:val="19"/>
              </w:rPr>
              <w:t xml:space="preserve">HILBERT POLYA BRIDGE · MONOGRAPH SERIES</w:t>
            </w:r>
          </w:p>
          <w:p>
            <w:pPr>
              <w:spacing w:after="3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The Extended Gate Family</w:t>
            </w:r>
          </w:p>
          <w:p>
            <w:pPr>
              <w:spacing w:after="700" w:line="340" w:lineRule="atLeast"/>
              <w:ind w:left="1100" w:right="600"/>
            </w:pPr>
            <w:r>
              <w:rPr>
                <w:rFonts w:ascii="Arial" w:eastAsia="Arial" w:hAnsi="Arial"/>
                <w:color w:val="B7C6CC"/>
                <w:sz w:val="25"/>
                <w:szCs w:val="25"/>
              </w:rPr>
              <w:t xml:space="preserve">Six new handles beyond the protocol; the stability of the H2 gap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Ishak Khamzatovich Isaev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Independent researcher, Nalchik, Kabardino-Balkarian Republic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Hilbert Polya Bridge · monograph series C1–C8 · volume C5</w:t>
            </w:r>
          </w:p>
          <w:p>
            <w:pPr>
              <w:spacing w:before="4847"/>
            </w:pPr>
          </w:p>
          <w:p>
            <w:pPr>
              <w:pBdr>
                <w:top w:val="single" w:color="298BBC" w:sz="2" w:space="8"/>
              </w:pBdr>
              <w:spacing w:before="200"/>
              <w:ind w:left="1100" w:right="900"/>
            </w:pP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v1.0.0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October 10,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3B4F58"/>
          <w:sz w:val="32"/>
          <w:szCs w:val="32"/>
        </w:rPr>
        <w:t xml:space="preserve">Contents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>
              <w:t xml:space="preserve">Introduction and setting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Introduction and setting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Method and safeguards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Results: the gap is stable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Conclusions</w:t>
          </w:r>
          <w:r>
            <w:tab/>
          </w:r>
          <w:r>
            <w:t>3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7"/>
          <w:szCs w:val="17"/>
        </w:rPr>
        <w:t xml:space="preserve">Note: this table of contents is built on Word field codes. After editing, right-click it and choose "Update Field".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after="60" w:before="120"/>
      </w:pPr>
      <w:r>
        <w:rPr>
          <w:rFonts w:ascii="Arial" w:eastAsia="Arial" w:hAnsi="Arial"/>
          <w:b/>
          <w:bCs/>
          <w:color w:val="3B4F58"/>
          <w:sz w:val="40"/>
          <w:szCs w:val="40"/>
        </w:rPr>
        <w:t xml:space="preserve">The Extended Gate Family</w:t>
      </w:r>
    </w:p>
    <w:p>
      <w:pPr>
        <w:spacing w:after="200"/>
      </w:pPr>
      <w:r>
        <w:rPr>
          <w:rFonts w:ascii="Times New Roman" w:eastAsia="Times New Roman" w:hAnsi="Times New Roman"/>
          <w:color w:val="777E81"/>
          <w:sz w:val="19"/>
          <w:szCs w:val="19"/>
        </w:rPr>
        <w:t xml:space="preserve">Ishak Khamzatovich Isaev · Independent researcher, Nalchik, Kabardino-Balkarian Republic · Hilbert Polya Bridge · monograph series C1–C8 · C5</w:t>
      </w:r>
    </w:p>
    <w:p>
      <w:pPr>
        <w:pStyle w:val="Heading1"/>
        <w:spacing w:after="140" w:before="320"/>
      </w:pPr>
      <w:bookmarkStart w:name="_Toc1" w:id="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Introduction and setting</w:t>
      </w:r>
      <w:bookmarkEnd w:id="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Campaign C5 answers the natural objection to C3: perhaps identity is reached not on the protocol handles Nv, q, W, α but on something else? We extend the handle space by six new dimensions: boundary twists (φx, φy) — spin structures in the sense of C8; hopping anisotropy t_x/t_y ∈ {0.8, 1.25}; flux shift δα = ±0.02 about the self-dual line (±1/24 on the torus, where the constraint α·Ny ∈ ℤ is exact); a staggered mass m ∈ {0.15, 0.35} breaking the chiral structure; the vortex profile — point-like (site) versus a finite-radius core (midpoint); the charge sign pattern — neutral (protocol), all-plus, random; and the boundary type — open versus torus.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In total 35 new gates plus 2 random-sign decoys, all at the same master seed 96, the same unfolding pipeline and the same three statistics as C3 — the comparison is batch-consistent.</w:t>
      </w:r>
    </w:p>
    <w:p>
      <w:pPr>
        <w:pStyle w:val="Heading1"/>
        <w:spacing w:after="140" w:before="320"/>
      </w:pPr>
      <w:bookmarkStart w:name="_Toc2" w:id="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Method and safeguards</w:t>
      </w:r>
      <w:bookmarkEnd w:id="2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Every handle is implemented in the engine.hamiltonian kernel and covered by a regression control: the protocol reference gate (Nv = 0, W = 0.5, α = 0.5) reproduces the mean level spacing of the C3 CSV bit-for-bit (deviation 1.4e-16) — the extended pipeline has not shifted the base. The degenerate corner W = 0 with the midpoint profile produces exact multiplicities and breaks the polynomial unfolding; that corner is replaced by W = 0.1 with an explicit note in the data table.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On the torus the flux shift is rounded to the realisable ±1/24: the constraint α·Ny ∈ ℤ on the 24-lattice is rigid, and these are exact neighbouring points of the self-dual line, not approximations.</w:t>
      </w:r>
    </w:p>
    <w:p>
      <w:pPr>
        <w:pStyle w:val="Heading1"/>
        <w:spacing w:after="140" w:before="320"/>
      </w:pPr>
      <w:bookmarkStart w:name="_Toc3" w:id="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Results: the gap is stable</w:t>
      </w:r>
      <w:bookmarkEnd w:id="3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main result is negative and therefore valuable. All 35 new gates sit in the GUE class by the C8 canon: ⟨r⟩ = 0.569–0.633 (0.601 ± 0.016 across the family, band 0.5996±0.03). The correlation with the zeros satisfies |r_H7| ≤ 0.097 (family Bonferroni 0.57) against the best protocol value 0.226 and positive controls of 1.000; the trace projection r_EF (C4) is distributed as 0.52 ± 0.52 — exactly inside the null clouds (surrogate, Poisson, GUE), and the decoys behave the same. No handle — alone or in combinations (anisotropy+mass, twist+mass, midpoint+torus) — moves a gate out of the null zone.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Handle by handle: twists give |r_H7| ≤ 0.033 (spin structures change the global phase but not the spectral class); anisotropy ≤ 0.030; flux shift ≤ 0.034; mass ≤ 0.032 — the chiral breaking is the safest; profile ≤ 0.033; signs and boundaries ≤ 0.044. The family maximum is reached on a random-sign decoy — the expected noise maximum.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Table 1. The six new handles: maxima of |r_H7|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2988"/>
        <w:gridCol w:w="3691"/>
        <w:gridCol w:w="2109"/>
      </w:tblGrid>
      <w:tr>
        <w:trPr>
          <w:cantSplit/>
          <w:tblHeader/>
        </w:trPr>
        <w:tc>
          <w:tcPr>
            <w:tcW w:type="pct" w:w="17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Handle</w:t>
            </w:r>
          </w:p>
        </w:tc>
        <w:tc>
          <w:tcPr>
            <w:tcW w:type="pct" w:w="21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Values</w:t>
            </w:r>
          </w:p>
        </w:tc>
        <w:tc>
          <w:tcPr>
            <w:tcW w:type="pct" w:w="12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max |r_H7|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Twists (φx, φy)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3 spin-structure classes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0.033</w:t>
            </w:r>
          </w:p>
        </w:tc>
      </w:tr>
      <w:tr>
        <w:trPr>
          <w:cantSplit/>
        </w:trPr>
        <w:tc>
          <w:tcPr>
            <w:tcW w:type="pct" w:w="17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Anisotropy t_x/t_y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0.8; 1.25</w:t>
            </w:r>
          </w:p>
        </w:tc>
        <w:tc>
          <w:tcPr>
            <w:tcW w:type="pct" w:w="12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0.030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Flux shift δα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±0.02; ±1/24 (torus)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0.034</w:t>
            </w:r>
          </w:p>
        </w:tc>
      </w:tr>
      <w:tr>
        <w:trPr>
          <w:cantSplit/>
        </w:trPr>
        <w:tc>
          <w:tcPr>
            <w:tcW w:type="pct" w:w="17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Staggered mass m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0.15; 0.35</w:t>
            </w:r>
          </w:p>
        </w:tc>
        <w:tc>
          <w:tcPr>
            <w:tcW w:type="pct" w:w="12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0.032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Vortex profile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site; midpoint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0.033</w:t>
            </w:r>
          </w:p>
        </w:tc>
      </w:tr>
      <w:tr>
        <w:trPr>
          <w:cantSplit/>
        </w:trPr>
        <w:tc>
          <w:tcPr>
            <w:tcW w:type="pct" w:w="17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Signs and boundaries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neutral/all_plus/random; open/torus</w:t>
            </w:r>
          </w:p>
        </w:tc>
        <w:tc>
          <w:tcPr>
            <w:tcW w:type="pct" w:w="12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0.044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43815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Fig. 1. |r_H7| across the 37 extended gates: gold line — best protocol value 0.226, copper — positive controls 1.000; red bars — decoys.</w:t>
      </w:r>
    </w:p>
    <w:p>
      <w:pPr>
        <w:spacing w:before="120"/>
        <w:jc w:val="center"/>
      </w:pPr>
      <w:r>
        <w:drawing>
          <wp:inline distT="0" distB="0" distL="0" distR="0">
            <wp:extent cx="4381500" cy="21240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Fig. 2. ⟨r⟩ across the extended family: every point in the 0.47–0.53 band — the GUE class is universal for all handles.</w:t>
      </w:r>
    </w:p>
    <w:p>
      <w:pPr>
        <w:pStyle w:val="Heading1"/>
        <w:spacing w:after="140" w:before="320"/>
      </w:pPr>
      <w:bookmarkStart w:name="_Toc4" w:id="4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Conclusions</w:t>
      </w:r>
      <w:bookmarkEnd w:id="4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H2 gap is stable against a six-dimensional extension of the handle space. Combined with C3 this means: in the class of local Hermitian Hamiltonians with vortex phases, GUE universality is an attractor that erases the arithmetic setting no matter how it is imposed. A hypothetical operator carrying the Λ(n)/√n weight in its trace (T6) cannot be obtained by local deformation of the lattice resonator — a statement now supported by 87 configurations across two campaigns.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222526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eastAsia="Arial" w:hAnsi="Arial"/>
      <w:b/>
      <w:bCs/>
      <w:color w:val="3B4F58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acfc98bd1124aaf314eaad845ddca0ce69989873.png"/><Relationship Id="rId10" Type="http://schemas.openxmlformats.org/officeDocument/2006/relationships/image" Target="media/0b098f865ed1e1effabeaa2c35370a1a91ec206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Extended Gate Family</dc:title>
  <dc:creator>Ishak Khamzatovich Isaev</dc:creator>
  <dc:description>Six new handles beyond the protocol; the stability of the H2 gap</dc:description>
  <cp:lastModifiedBy>Un-named</cp:lastModifiedBy>
  <cp:revision>1</cp:revision>
  <dcterms:created xsi:type="dcterms:W3CDTF">2026-10-15T03:08:56.970Z</dcterms:created>
  <dcterms:modified xsi:type="dcterms:W3CDTF">2026-10-15T03:08:56.970Z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