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E3F49" w:val="clear"/>
            <w:vAlign w:val="top"/>
          </w:tcPr>
          <w:p>
            <w:pPr>
              <w:spacing w:before="4405"/>
            </w:pPr>
          </w:p>
          <w:p>
            <w:pPr>
              <w:pBdr>
                <w:bottom w:val="single" w:color="298BBC" w:sz="6" w:space="8"/>
              </w:pBdr>
              <w:spacing w:after="500"/>
              <w:ind w:left="1100" w:right="900"/>
            </w:pPr>
            <w:r>
              <w:rPr>
                <w:rFonts w:ascii="Arial" w:eastAsia="Arial" w:hAnsi="Arial"/>
                <w:color w:val="298BBC"/>
                <w:spacing w:val="40"/>
                <w:sz w:val="19"/>
                <w:szCs w:val="19"/>
              </w:rPr>
              <w:t xml:space="preserve">HILBERT POLYA BRIDGE · MONOGRAPH SERIES</w:t>
            </w:r>
          </w:p>
          <w:p>
            <w:pPr>
              <w:spacing w:after="100" w:line="782" w:lineRule="atLeast"/>
              <w:ind w:left="1100" w:right="400"/>
            </w:pPr>
            <w:r>
              <w:rPr>
                <w:rFonts w:ascii="Arial" w:eastAsia="Arial" w:hAnsi="Arial"/>
                <w:b/>
                <w:bCs/>
                <w:color w:val="F0F4F5"/>
                <w:sz w:val="68"/>
                <w:szCs w:val="68"/>
              </w:rPr>
              <w:t xml:space="preserve">Appendix: Reproduction</w:t>
            </w:r>
          </w:p>
          <w:p>
            <w:pPr>
              <w:spacing w:after="300" w:line="782" w:lineRule="atLeast"/>
              <w:ind w:left="1100" w:right="400"/>
            </w:pPr>
            <w:r>
              <w:rPr>
                <w:rFonts w:ascii="Arial" w:eastAsia="Arial" w:hAnsi="Arial"/>
                <w:b/>
                <w:bCs/>
                <w:color w:val="F0F4F5"/>
                <w:sz w:val="68"/>
                <w:szCs w:val="68"/>
              </w:rPr>
              <w:t xml:space="preserve">Protocols</w:t>
            </w:r>
          </w:p>
          <w:p>
            <w:pPr>
              <w:spacing w:after="700" w:line="340" w:lineRule="atLeast"/>
              <w:ind w:left="1100" w:right="600"/>
            </w:pPr>
            <w:r>
              <w:rPr>
                <w:rFonts w:ascii="Arial" w:eastAsia="Arial" w:hAnsi="Arial"/>
                <w:color w:val="B7C6CC"/>
                <w:sz w:val="25"/>
                <w:szCs w:val="25"/>
              </w:rPr>
              <w:t xml:space="preserve">Environment, seeds, data dictionary, control register, scorecard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Ishak Khamzatovich Isaev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Independent researcher, Nalchik, Kabardino-Balkarian Republic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Hilbert Polya Bridge · monograph series C1–C8 · volume Appendix</w:t>
            </w:r>
          </w:p>
          <w:p>
            <w:pPr>
              <w:spacing w:before="4405"/>
            </w:pPr>
          </w:p>
          <w:p>
            <w:pPr>
              <w:pBdr>
                <w:top w:val="single" w:color="298BBC" w:sz="2" w:space="8"/>
              </w:pBdr>
              <w:spacing w:before="200"/>
              <w:ind w:left="1100" w:right="900"/>
            </w:pPr>
            <w:r>
              <w:rPr>
                <w:rFonts w:ascii="Arial" w:eastAsia="Arial" w:hAnsi="Arial"/>
                <w:color w:val="93A7AE"/>
                <w:sz w:val="16"/>
                <w:szCs w:val="16"/>
              </w:rPr>
              <w:t xml:space="preserve">v1.0.0</w:t>
            </w:r>
            <w:r>
              <w:t xml:space="preserve">                                        </w:t>
            </w:r>
            <w:r>
              <w:rPr>
                <w:rFonts w:ascii="Arial" w:eastAsia="Arial" w:hAnsi="Arial"/>
                <w:color w:val="93A7AE"/>
                <w:sz w:val="16"/>
                <w:szCs w:val="16"/>
              </w:rPr>
              <w:t xml:space="preserve">October 10,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Arial" w:eastAsia="Arial" w:hAnsi="Arial"/>
          <w:b/>
          <w:bCs/>
          <w:color w:val="3B4F58"/>
          <w:sz w:val="32"/>
          <w:szCs w:val="32"/>
        </w:rPr>
        <w:t xml:space="preserve">Contents</w:t>
      </w:r>
    </w:p>
    <w:sdt>
      <w:sdtPr>
        <w:alias w:val="TOC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"1-1"</w:instrText>
          </w:r>
          <w:r>
            <w:fldChar w:fldCharType="separate"/>
          </w:r>
          <w:hyperlink w:history="1" w:anchor="_Toc1">
            <w:r>
              <w:t xml:space="preserve">Environment and determinism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Environment and determinism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Data dictionary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Register of positive and negative controls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The Hilbert–Pólya scorecard</w:t>
          </w:r>
          <w:r>
            <w:tab/>
          </w:r>
          <w:r>
            <w:t>3</w:t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Times New Roman" w:hAnsi="Times New Roman"/>
          <w:i/>
          <w:iCs/>
          <w:color w:val="888888"/>
          <w:sz w:val="17"/>
          <w:szCs w:val="17"/>
        </w:rPr>
        <w:t xml:space="preserve">Note: this table of contents is built on Word field codes. After editing, right-click it and choose "Update Field".</w:t>
      </w:r>
    </w:p>
    <w:p>
      <w:pPr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br w:type="page"/>
      </w:r>
    </w:p>
    <w:p>
      <w:pPr>
        <w:spacing w:after="60" w:before="120"/>
      </w:pPr>
      <w:r>
        <w:rPr>
          <w:rFonts w:ascii="Arial" w:eastAsia="Arial" w:hAnsi="Arial"/>
          <w:b/>
          <w:bCs/>
          <w:color w:val="3B4F58"/>
          <w:sz w:val="40"/>
          <w:szCs w:val="40"/>
        </w:rPr>
        <w:t xml:space="preserve">Appendix: Reproduction Protocols</w:t>
      </w:r>
    </w:p>
    <w:p>
      <w:pPr>
        <w:spacing w:after="200"/>
      </w:pPr>
      <w:r>
        <w:rPr>
          <w:rFonts w:ascii="Times New Roman" w:eastAsia="Times New Roman" w:hAnsi="Times New Roman"/>
          <w:color w:val="777E81"/>
          <w:sz w:val="19"/>
          <w:szCs w:val="19"/>
        </w:rPr>
        <w:t xml:space="preserve">Ishak Khamzatovich Isaev · Independent researcher, Nalchik, Kabardino-Balkarian Republic · Hilbert Polya Bridge · monograph series C1–C8 · Appendix</w:t>
      </w:r>
    </w:p>
    <w:p>
      <w:pPr>
        <w:pStyle w:val="Heading1"/>
        <w:spacing w:after="140" w:before="320"/>
      </w:pPr>
      <w:bookmarkStart w:name="_Toc1" w:id="1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Environment and determinism</w:t>
      </w:r>
      <w:bookmarkEnd w:id="1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All campaigns ran in one environment: Python 3.12, numpy 2.1, scipy 1.14 (eigvalsh, driver evr), mpmath 1.3 (dps 25–40 per criterion), matplotlib 3.9 (600 dpi figures). The master seed of the series is 96; the RNG streams are fixed: vortices — default_rng(96 + 3500), disorder — default_rng(96 + 3501), GUE nulls — default_rng(9000 + k), Poisson nulls — default_rng(7000 + k). Runtimes: C1 ~2 s, C2 ~30 min (two arithmetics), C3 ~3 min, C4 ~12 s, C5 ~5 s, C6 ~8 min (the 10⁶ sieve), C7 ~20 min (L=96 dynamics), C8 ~1 min.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The bit-for-bit base control: the protocol reference gate reproduces the mean level spacing of the C3 CSV with deviation 1.45e-16 — the kernel port (engine/hamiltonian.py) is equivalent to the original protocol up to summation order. All verdicts are committed in data/; the campaigns re-read them and recompute cheap invariants in seconds.</w:t>
      </w:r>
    </w:p>
    <w:p>
      <w:pPr>
        <w:pStyle w:val="Heading1"/>
        <w:spacing w:after="140" w:before="320"/>
      </w:pPr>
      <w:bookmarkStart w:name="_Toc2" w:id="2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Data dictionary</w:t>
      </w:r>
      <w:bookmarkEnd w:id="2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The ζ zero file (2 001 052 heights, Odlyzko format) is not shipped for licensing reasons; its path is set by ZFILE in campaigns/ and defaults to verification/data/zeros6.txt of the neighbouring repository. Every verdict of the series is committed, so no test requires the zero file; fresh campaigns with recomputation are optional.</w:t>
      </w:r>
    </w:p>
    <w:p>
      <w:pPr>
        <w:keepNext/>
        <w:spacing w:after="60" w:before="140"/>
      </w:pPr>
      <w:r>
        <w:rPr>
          <w:rFonts w:ascii="Times New Roman" w:eastAsia="Times New Roman" w:hAnsi="Times New Roman"/>
          <w:b/>
          <w:bCs/>
          <w:color w:val="3B4F58"/>
          <w:sz w:val="19"/>
          <w:szCs w:val="19"/>
        </w:rPr>
        <w:t xml:space="preserve">Table 1. Verdict files</w:t>
      </w:r>
    </w:p>
    <w:tbl>
      <w:tblPr>
        <w:tblW w:type="pct" w:w="5000"/>
        <w:tblBorders>
          <w:top w:val="single" w:color="3B4F58" w:sz="4"/>
          <w:left w:val="none" w:color="auto" w:sz="0"/>
          <w:bottom w:val="single" w:color="3B4F58" w:sz="4"/>
          <w:right w:val="none" w:color="auto" w:sz="0"/>
          <w:insideH w:val="single" w:color="C7D3D9" w:sz="1"/>
          <w:insideV w:val="none" w:color="auto" w:sz="0"/>
        </w:tblBorders>
      </w:tblPr>
      <w:tblGrid>
        <w:gridCol w:w="3339"/>
        <w:gridCol w:w="3867"/>
        <w:gridCol w:w="1582"/>
      </w:tblGrid>
      <w:tr>
        <w:trPr>
          <w:cantSplit/>
          <w:tblHeader/>
        </w:trPr>
        <w:tc>
          <w:tcPr>
            <w:tcW w:type="pct" w:w="19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pct" w:w="22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Content</w:t>
            </w:r>
          </w:p>
        </w:tc>
        <w:tc>
          <w:tcPr>
            <w:tcW w:type="pct" w:w="9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Campaign</w:t>
            </w:r>
          </w:p>
        </w:tc>
      </w:tr>
      <w:tr>
        <w:trPr>
          <w:cantSplit/>
        </w:trPr>
        <w:tc>
          <w:tcPr>
            <w:tcW w:type="pct" w:w="1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c1_identity_verdict.json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K1–K7: ladder, reality, zeros, Gram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C1</w:t>
            </w:r>
          </w:p>
        </w:tc>
      </w:tr>
      <w:tr>
        <w:trPr>
          <w:cantSplit/>
        </w:trPr>
        <w:tc>
          <w:tcPr>
            <w:tcW w:type="pct" w:w="19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c2_argument_verdict.json</w:t>
            </w:r>
          </w:p>
        </w:tc>
        <w:tc>
          <w:tcPr>
            <w:tcW w:type="pct" w:w="22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anchors 0/3/10/29/79/649, S(T), gaps, bridge</w:t>
            </w:r>
          </w:p>
        </w:tc>
        <w:tc>
          <w:tcPr>
            <w:tcW w:type="pct" w:w="9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C2</w:t>
            </w:r>
          </w:p>
        </w:tc>
      </w:tr>
      <w:tr>
        <w:trPr>
          <w:cantSplit/>
        </w:trPr>
        <w:tc>
          <w:tcPr>
            <w:tcW w:type="pct" w:w="1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c3_gates_verdict.json + c3_gates_table.csv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52 gates, nulls, PC1/PC2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C3</w:t>
            </w:r>
          </w:p>
        </w:tc>
      </w:tr>
      <w:tr>
        <w:trPr>
          <w:cantSplit/>
        </w:trPr>
        <w:tc>
          <w:tcPr>
            <w:tcW w:type="pct" w:w="19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c4_trace_verdict.json</w:t>
            </w:r>
          </w:p>
        </w:tc>
        <w:tc>
          <w:tcPr>
            <w:tcW w:type="pct" w:w="22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M0/M1/M2, PC0, trace-metric gap</w:t>
            </w:r>
          </w:p>
        </w:tc>
        <w:tc>
          <w:tcPr>
            <w:tcW w:type="pct" w:w="9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C4</w:t>
            </w:r>
          </w:p>
        </w:tc>
      </w:tr>
      <w:tr>
        <w:trPr>
          <w:cantSplit/>
        </w:trPr>
        <w:tc>
          <w:tcPr>
            <w:tcW w:type="pct" w:w="1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c5_gates_ext_verdict.json + c5_gates_ext_table.csv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35+2 extended gates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C5</w:t>
            </w:r>
          </w:p>
        </w:tc>
      </w:tr>
      <w:tr>
        <w:trPr>
          <w:cantSplit/>
        </w:trPr>
        <w:tc>
          <w:tcPr>
            <w:tcW w:type="pct" w:w="19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c6_primes_verdict.json</w:t>
            </w:r>
          </w:p>
        </w:tc>
        <w:tc>
          <w:tcPr>
            <w:tcW w:type="pct" w:w="22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co-location, kernel, ψ-ladder, codings</w:t>
            </w:r>
          </w:p>
        </w:tc>
        <w:tc>
          <w:tcPr>
            <w:tcW w:type="pct" w:w="9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C6</w:t>
            </w:r>
          </w:p>
        </w:tc>
      </w:tr>
      <w:tr>
        <w:trPr>
          <w:cantSplit/>
        </w:trPr>
        <w:tc>
          <w:tcPr>
            <w:tcW w:type="pct" w:w="1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c7_dynamics_verdict.json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trajectories ⟨x⟩(t), transport P(x≥90)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C7</w:t>
            </w:r>
          </w:p>
        </w:tc>
      </w:tr>
      <w:tr>
        <w:trPr>
          <w:cantSplit/>
        </w:trPr>
        <w:tc>
          <w:tcPr>
            <w:tcW w:type="pct" w:w="19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C8 ladder + spinor64</w:t>
            </w:r>
          </w:p>
        </w:tc>
        <w:tc>
          <w:tcPr>
            <w:tcW w:type="pct" w:w="22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11-channel ladder, 64→4 reduction</w:t>
            </w:r>
          </w:p>
        </w:tc>
        <w:tc>
          <w:tcPr>
            <w:tcW w:type="pct" w:w="9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C8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bookmarkStart w:name="_Toc3" w:id="3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Register of positive and negative controls</w:t>
      </w:r>
      <w:bookmarkEnd w:id="3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The discipline of controls: a method is allowed a negative verdict only after demonstrating a positive result on an object where identity is known to hold. Every negative result of the series (H2, H5, M3) passed this procedure; every positive one (T1–T4, T6, T8) passed an independent recount in IVP01–IVP10.</w:t>
      </w:r>
    </w:p>
    <w:p>
      <w:pPr>
        <w:keepNext/>
        <w:spacing w:after="60" w:before="140"/>
      </w:pPr>
      <w:r>
        <w:rPr>
          <w:rFonts w:ascii="Times New Roman" w:eastAsia="Times New Roman" w:hAnsi="Times New Roman"/>
          <w:b/>
          <w:bCs/>
          <w:color w:val="3B4F58"/>
          <w:sz w:val="19"/>
          <w:szCs w:val="19"/>
        </w:rPr>
        <w:t xml:space="preserve">Table 2. Controls of the series</w:t>
      </w:r>
    </w:p>
    <w:tbl>
      <w:tblPr>
        <w:tblW w:type="pct" w:w="5000"/>
        <w:tblBorders>
          <w:top w:val="single" w:color="3B4F58" w:sz="4"/>
          <w:left w:val="none" w:color="auto" w:sz="0"/>
          <w:bottom w:val="single" w:color="3B4F58" w:sz="4"/>
          <w:right w:val="none" w:color="auto" w:sz="0"/>
          <w:insideH w:val="single" w:color="C7D3D9" w:sz="1"/>
          <w:insideV w:val="none" w:color="auto" w:sz="0"/>
        </w:tblBorders>
      </w:tblPr>
      <w:tblGrid>
        <w:gridCol w:w="2285"/>
        <w:gridCol w:w="2636"/>
        <w:gridCol w:w="2285"/>
        <w:gridCol w:w="1582"/>
      </w:tblGrid>
      <w:tr>
        <w:trPr>
          <w:cantSplit/>
          <w:tblHeader/>
        </w:trPr>
        <w:tc>
          <w:tcPr>
            <w:tcW w:type="pct" w:w="13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Control</w:t>
            </w:r>
          </w:p>
        </w:tc>
        <w:tc>
          <w:tcPr>
            <w:tcW w:type="pct" w:w="15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Must show</w:t>
            </w:r>
          </w:p>
        </w:tc>
        <w:tc>
          <w:tcPr>
            <w:tcW w:type="pct" w:w="13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  <w:tc>
          <w:tcPr>
            <w:tcW w:type="pct" w:w="9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Where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PC1 spinor64 twins</w:t>
            </w:r>
          </w:p>
        </w:tc>
        <w:tc>
          <w:tcPr>
            <w:tcW w:type="pct" w:w="1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r = 1 on an isospectral orbit</w:t>
            </w:r>
          </w:p>
        </w:tc>
        <w:tc>
          <w:tcPr>
            <w:tcW w:type="pct" w:w="1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r = 1.000000000, D_nn = 2.7e-14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C3</w:t>
            </w:r>
          </w:p>
        </w:tc>
      </w:tr>
      <w:tr>
        <w:trPr>
          <w:cantSplit/>
        </w:trPr>
        <w:tc>
          <w:tcPr>
            <w:tcW w:type="pct" w:w="13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PC2 graph ↔ file</w:t>
            </w:r>
          </w:p>
        </w:tc>
        <w:tc>
          <w:tcPr>
            <w:tcW w:type="pct" w:w="15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r = 1 between Z_id zeros and the file</w:t>
            </w:r>
          </w:p>
        </w:tc>
        <w:tc>
          <w:tcPr>
            <w:tcW w:type="pct" w:w="13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r = 1.000000000000</w:t>
            </w:r>
          </w:p>
        </w:tc>
        <w:tc>
          <w:tcPr>
            <w:tcW w:type="pct" w:w="9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C3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PC0 zeros window (trace)</w:t>
            </w:r>
          </w:p>
        </w:tc>
        <w:tc>
          <w:tcPr>
            <w:tcW w:type="pct" w:w="1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the method sees the Λ-comb</w:t>
            </w:r>
          </w:p>
        </w:tc>
        <w:tc>
          <w:tcPr>
            <w:tcW w:type="pct" w:w="1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r_EF = +0.9998, residual 2.1%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C4</w:t>
            </w:r>
          </w:p>
        </w:tc>
      </w:tr>
      <w:tr>
        <w:trPr>
          <w:cantSplit/>
        </w:trPr>
        <w:tc>
          <w:tcPr>
            <w:tcW w:type="pct" w:w="13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Decoys (random phases)</w:t>
            </w:r>
          </w:p>
        </w:tc>
        <w:tc>
          <w:tcPr>
            <w:tcW w:type="pct" w:w="15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the null zone of correlations</w:t>
            </w:r>
          </w:p>
        </w:tc>
        <w:tc>
          <w:tcPr>
            <w:tcW w:type="pct" w:w="13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0.026±0.140 / +0.050±0.153</w:t>
            </w:r>
          </w:p>
        </w:tc>
        <w:tc>
          <w:tcPr>
            <w:tcW w:type="pct" w:w="9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C3, C6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GUE null</w:t>
            </w:r>
          </w:p>
        </w:tc>
        <w:tc>
          <w:tcPr>
            <w:tcW w:type="pct" w:w="1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universality without identity</w:t>
            </w:r>
          </w:p>
        </w:tc>
        <w:tc>
          <w:tcPr>
            <w:tcW w:type="pct" w:w="1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⟨r⟩-plateau; r_EF 0.43±0.71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C3–C5</w:t>
            </w:r>
          </w:p>
        </w:tc>
      </w:tr>
      <w:tr>
        <w:trPr>
          <w:cantSplit/>
        </w:trPr>
        <w:tc>
          <w:tcPr>
            <w:tcW w:type="pct" w:w="13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Surrogate null (blocks)</w:t>
            </w:r>
          </w:p>
        </w:tc>
        <w:tc>
          <w:tcPr>
            <w:tcW w:type="pct" w:w="15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the width of the trace metric</w:t>
            </w:r>
          </w:p>
        </w:tc>
        <w:tc>
          <w:tcPr>
            <w:tcW w:type="pct" w:w="13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0.00±0.39</w:t>
            </w:r>
          </w:p>
        </w:tc>
        <w:tc>
          <w:tcPr>
            <w:tcW w:type="pct" w:w="9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C4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Poisson null</w:t>
            </w:r>
          </w:p>
        </w:tc>
        <w:tc>
          <w:tcPr>
            <w:tcW w:type="pct" w:w="1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clustered spectra</w:t>
            </w:r>
          </w:p>
        </w:tc>
        <w:tc>
          <w:tcPr>
            <w:tcW w:type="pct" w:w="1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0.08±0.80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C4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bookmarkStart w:name="_Toc4" w:id="4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The Hilbert–Pólya scorecard</w:t>
      </w:r>
      <w:bookmarkEnd w:id="4"/>
    </w:p>
    <w:p>
      <w:pPr>
        <w:keepNext/>
        <w:spacing w:after="60" w:before="140"/>
      </w:pPr>
      <w:r>
        <w:rPr>
          <w:rFonts w:ascii="Times New Roman" w:eastAsia="Times New Roman" w:hAnsi="Times New Roman"/>
          <w:b/>
          <w:bCs/>
          <w:color w:val="3B4F58"/>
          <w:sz w:val="19"/>
          <w:szCs w:val="19"/>
        </w:rPr>
        <w:t xml:space="preserve">Table 3. The five questions of the programme</w:t>
      </w:r>
    </w:p>
    <w:tbl>
      <w:tblPr>
        <w:tblW w:type="pct" w:w="5000"/>
        <w:tblBorders>
          <w:top w:val="single" w:color="3B4F58" w:sz="4"/>
          <w:left w:val="none" w:color="auto" w:sz="0"/>
          <w:bottom w:val="single" w:color="3B4F58" w:sz="4"/>
          <w:right w:val="none" w:color="auto" w:sz="0"/>
          <w:insideH w:val="single" w:color="C7D3D9" w:sz="1"/>
          <w:insideV w:val="none" w:color="auto" w:sz="0"/>
        </w:tblBorders>
      </w:tblPr>
      <w:tblGrid>
        <w:gridCol w:w="703"/>
        <w:gridCol w:w="2636"/>
        <w:gridCol w:w="1055"/>
        <w:gridCol w:w="4394"/>
      </w:tblGrid>
      <w:tr>
        <w:trPr>
          <w:cantSplit/>
          <w:tblHeader/>
        </w:trPr>
        <w:tc>
          <w:tcPr>
            <w:tcW w:type="pct" w:w="4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pct" w:w="15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pct" w:w="6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Verdict</w:t>
            </w:r>
          </w:p>
        </w:tc>
        <w:tc>
          <w:tcPr>
            <w:tcW w:type="pct" w:w="25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Basis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H1</w:t>
            </w:r>
          </w:p>
        </w:tc>
        <w:tc>
          <w:tcPr>
            <w:tcW w:type="pct" w:w="1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self-adjointness of the operator</w:t>
            </w:r>
          </w:p>
        </w:tc>
        <w:tc>
          <w:tcPr>
            <w:tcW w:type="pct" w:w="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YES</w:t>
            </w:r>
          </w:p>
        </w:tc>
        <w:tc>
          <w:tcPr>
            <w:tcW w:type="pct" w:w="2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Hermitian by construction; real spectrum</w:t>
            </w:r>
          </w:p>
        </w:tc>
      </w:tr>
      <w:tr>
        <w:trPr>
          <w:cantSplit/>
        </w:trPr>
        <w:tc>
          <w:tcPr>
            <w:tcW w:type="pct" w:w="4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H2</w:t>
            </w:r>
          </w:p>
        </w:tc>
        <w:tc>
          <w:tcPr>
            <w:tcW w:type="pct" w:w="15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spectral identity level↔zero</w:t>
            </w:r>
          </w:p>
        </w:tc>
        <w:tc>
          <w:tcPr>
            <w:tcW w:type="pct" w:w="6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NO</w:t>
            </w:r>
          </w:p>
        </w:tc>
        <w:tc>
          <w:tcPr>
            <w:tcW w:type="pct" w:w="25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null level — D_nn 0.0079 vs surrogate 0.0079±0.0005 (C3); ≈0.5 order by relative residual (C4); |r_H7| ≤ 0.097, Bonferroni 0.57 (C5)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H3</w:t>
            </w:r>
          </w:p>
        </w:tc>
        <w:tc>
          <w:tcPr>
            <w:tcW w:type="pct" w:w="1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the GUE class</w:t>
            </w:r>
          </w:p>
        </w:tc>
        <w:tc>
          <w:tcPr>
            <w:tcW w:type="pct" w:w="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YES</w:t>
            </w:r>
          </w:p>
        </w:tc>
        <w:tc>
          <w:tcPr>
            <w:tcW w:type="pct" w:w="2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⟨r⟩ = 0.60 at Nv ≥ 8; all of C5 in class</w:t>
            </w:r>
          </w:p>
        </w:tc>
      </w:tr>
      <w:tr>
        <w:trPr>
          <w:cantSplit/>
        </w:trPr>
        <w:tc>
          <w:tcPr>
            <w:tcW w:type="pct" w:w="4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H4</w:t>
            </w:r>
          </w:p>
        </w:tc>
        <w:tc>
          <w:tcPr>
            <w:tcW w:type="pct" w:w="15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Dirac dynamics</w:t>
            </w:r>
          </w:p>
        </w:tc>
        <w:tc>
          <w:tcPr>
            <w:tcW w:type="pct" w:w="6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YES</w:t>
            </w:r>
          </w:p>
        </w:tc>
        <w:tc>
          <w:tcPr>
            <w:tcW w:type="pct" w:w="25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coherent packet, energy 1e-15 (C7)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H5</w:t>
            </w:r>
          </w:p>
        </w:tc>
        <w:tc>
          <w:tcPr>
            <w:tcW w:type="pct" w:w="1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primes in the operator</w:t>
            </w:r>
          </w:p>
        </w:tc>
        <w:tc>
          <w:tcPr>
            <w:tcW w:type="pct" w:w="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NO</w:t>
            </w:r>
          </w:p>
        </w:tc>
        <w:tc>
          <w:tcPr>
            <w:tcW w:type="pct" w:w="2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ψ-ladder 0.972 for zeros, null zone for gates (C6)</w:t>
            </w:r>
          </w:p>
        </w:tc>
      </w:tr>
    </w:tbl>
    <w:p>
      <w:pPr>
        <w:spacing w:after="120"/>
      </w:pP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The cycle formula after eight campaigns: the resonator is built and tuned (H1+H3+H4); the zeros are encoded, not generated (H2+H5); the prime weight is verified only for the zero operator (T6). The roadmap — in results/ROADMAP.md: stitching the statistical and coding branches, nonlocal trace constructions, a number-theoretic explanation of T9.</w:t>
      </w:r>
    </w:p>
    <w:sectPr>
      <w:footerReference w:type="default" r:id="rId7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 w:hAnsi="Times New Roman"/>
        <w:color w:val="777E81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 w:hAnsi="Times New Roman"/>
        <w:color w:val="777E81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/>
        <w:color w:val="222526"/>
        <w:sz w:val="21"/>
        <w:szCs w:val="21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eastAsia="Arial" w:hAnsi="Arial"/>
      <w:b/>
      <w:bCs/>
      <w:color w:val="3B4F58"/>
      <w:sz w:val="30"/>
      <w:szCs w:val="30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Appendix: Reproduction Protocols</dc:title>
  <dc:creator>Ishak Khamzatovich Isaev</dc:creator>
  <dc:description>Environment, seeds, data dictionary, control register, scorecard</dc:description>
  <cp:lastModifiedBy>Un-named</cp:lastModifiedBy>
  <cp:revision>1</cp:revision>
  <dcterms:created xsi:type="dcterms:W3CDTF">2026-10-15T03:09:11.992Z</dcterms:created>
  <dcterms:modified xsi:type="dcterms:W3CDTF">2026-10-15T03:09:11.992Z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