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1906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405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СЕРИЯ МОНОГРАФИЙ</w:t>
            </w:r>
          </w:p>
          <w:p>
            <w:pPr>
              <w:spacing w:after="1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Приложение: протоколы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воспроизведения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Окружение, сиды, словарь данных, реестр контролей, табель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Исаев Исхак Хамзатович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Независимый исследователь, г. Нальчик, Кабардино-Балкарская Республика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серия монографий C1–C8 · том Appendix</w:t>
            </w:r>
          </w:p>
          <w:p>
            <w:pPr>
              <w:spacing w:before="4405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10 октября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Содержание</w:t>
      </w:r>
    </w:p>
    <w:sdt>
      <w:sdtPr>
        <w:alias w:val="TOC"/>
      </w:sdtPr>
      <w:sdtContent>
        <w:p>
          <w:pPr>
            <w:pStyle w:val="TOC1"/>
            <w:tabs>
              <w:tab w:val="right" w:pos="8788" w:leader="dot"/>
            </w:tabs>
          </w:pPr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  <w:hyperlink w:history="1" w:anchor="_Toc1">
            <w:r>
              <w:t xml:space="preserve">Окружение и детерминизм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Окружение и детерминизм</w:t>
          </w:r>
          <w:r>
            <w:tab/>
          </w:r>
          <w:r>
            <w:t>1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Словарь данных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Реестр позитивных и негативных контролей</w:t>
          </w:r>
          <w:r>
            <w:tab/>
          </w:r>
          <w:r>
            <w:t>2</w:t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r>
            <w:t>Табель Гильберта–Пойа</w:t>
          </w:r>
          <w:r>
            <w:tab/>
          </w:r>
          <w:r>
            <w:t>3</w:t>
          </w:r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Примечание: оглавление построено на полях Word. После редактирования щёлкните по нему правой кнопкой и выберите «Обновить поле».</w:t>
      </w:r>
    </w:p>
    <w:p>
      <w:pPr>
        <w:sectPr>
          <w:footerReference w:type="default" r:id="rId6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  <w:r>
        <w:br w:type="page"/>
      </w: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Приложение: протоколы воспроизведения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Исаев Исхак Хамзатович · Независимый исследователь, г. Нальчик, Кабардино-Балкарская Республика · Hilbert Polya Bridge · серия монографий C1–C8 · Appendix</w:t>
      </w:r>
    </w:p>
    <w:p>
      <w:pPr>
        <w:pStyle w:val="Heading1"/>
        <w:spacing w:after="140" w:before="320"/>
      </w:pPr>
      <w:bookmarkStart w:name="_Toc1" w:id="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Окружение и детерминизм</w:t>
      </w:r>
      <w:bookmarkEnd w:id="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Все кампании выполнены в одном окружении: Python 3.12, numpy 2.1, scipy 2.14 (eigvalsh, driver evr), mpmath 1.3 (dps 25–40 по критериям), matplotlib 3.9 (рисунки 600 dpi). Мастер-сид серии — 96; потоки RNG фиксированы: вихри — default_rng(96 + 3500), беспорядок — default_rng(96 + 3501), GUE-нули — default_rng(9000 + k), пуассоновские нули — default_rng(7000 + k). Время исполнения: C1 ~2 c, C2 ~30 мин (две арифметики), C3 ~3 мин, C4 ~12 c, C5 ~5 c, C6 ~8 мин (сито 10⁶), C7 ~20 мин (динамика L=96), C8 ~1 мин.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Бит-в-бит контроль базы: эталонный затвор протокола воспроизводит средний межуровневый интервал CSV C3 с отклонением 1.45e-16 — порт ядра (engine/hamiltonian.py) эквивалентен исходному протоколу с точностью до порядка суммирования. Все вердикты закоммичены в data/; кампании перечитывают их и пересчитывают дешёвые инварианты за секунды.</w:t>
      </w:r>
    </w:p>
    <w:p>
      <w:pPr>
        <w:pStyle w:val="Heading1"/>
        <w:spacing w:after="140" w:before="320"/>
      </w:pPr>
      <w:bookmarkStart w:name="_Toc2" w:id="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Словарь данных</w:t>
      </w:r>
      <w:bookmarkEnd w:id="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Файл нулей ζ (2 001 052 высоты, формат Одлыжко) не входит в пакет по лицензионным соображениям; путь к нему задаётся переменной ZFILE в campaigns/ и по умолчанию — verification/data/zeros6.txt соседнего репозитория. Все вердикты серии закоммичены, поэтому ни один тест не требует файла нулей; свежие кампании с пересчётом — опциональны.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1. Файлы вердиктов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3164"/>
        <w:gridCol w:w="4042"/>
        <w:gridCol w:w="1582"/>
      </w:tblGrid>
      <w:tr>
        <w:trPr>
          <w:cantSplit/>
          <w:tblHeader/>
        </w:trPr>
        <w:tc>
          <w:tcPr>
            <w:tcW w:type="pct" w:w="18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Файл</w:t>
            </w:r>
          </w:p>
        </w:tc>
        <w:tc>
          <w:tcPr>
            <w:tcW w:type="pct" w:w="2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Содержание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Кампания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c1_identity_verdict.json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K1–K7: лестница, вещественность, нули, Грам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C1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c2_argument_verdict.json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якоря 0/3/10/29/79/649, S(T), зазоры, мост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C2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c3_gates_verdict.json + c3_gates_table.csv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52 затвора, нули, PC1/PC2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c4_trace_verdict.json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M0/M1/M2, PC0, разрыв следовой метрики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c5_gates_ext_verdict.json + c5_gates_ext_table.csv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35+2 расширенных затвора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C5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c6_primes_verdict.json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ко-локация, ядро, ψ-лестница, кодировки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C6</w:t>
            </w:r>
          </w:p>
        </w:tc>
      </w:tr>
      <w:tr>
        <w:trPr>
          <w:cantSplit/>
        </w:trPr>
        <w:tc>
          <w:tcPr>
            <w:tcW w:type="pct" w:w="18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c7_dynamics_verdict.json</w:t>
            </w:r>
          </w:p>
        </w:tc>
        <w:tc>
          <w:tcPr>
            <w:tcW w:type="pct" w:w="2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траектории ⟨x⟩(t), транспорт P(x≥90)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C7</w:t>
            </w:r>
          </w:p>
        </w:tc>
      </w:tr>
      <w:tr>
        <w:trPr>
          <w:cantSplit/>
        </w:trPr>
        <w:tc>
          <w:tcPr>
            <w:tcW w:type="pct" w:w="18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 ladder + spinor64</w:t>
            </w:r>
          </w:p>
        </w:tc>
        <w:tc>
          <w:tcPr>
            <w:tcW w:type="pct" w:w="2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лестница 11 каналов, редукция 64→4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C8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3" w:id="3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Реестр позитивных и негативных контролей</w:t>
      </w:r>
      <w:bookmarkEnd w:id="3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Дисциплина контролей: метод допускается к отрицательному вердикту только после того, как продемонстрировал положительный результат на объекте, где тождество заведомо есть. Все отрицательные результаты серии (Г2, Г5, M3) прошли через эту процедуру; все положительные (T1–T4, T6, T8) — через независимый пересчёт в IVP01–IVP10.</w:t>
      </w:r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2. Контроли серии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2285"/>
        <w:gridCol w:w="2636"/>
        <w:gridCol w:w="2285"/>
        <w:gridCol w:w="1582"/>
      </w:tblGrid>
      <w:tr>
        <w:trPr>
          <w:cantSplit/>
          <w:tblHeader/>
        </w:trPr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Контроль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Что обязан показать</w:t>
            </w:r>
          </w:p>
        </w:tc>
        <w:tc>
          <w:tcPr>
            <w:tcW w:type="pct" w:w="13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pct" w:w="9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Где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PC1 близнецы spinor64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на изоспектральной орбите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1.000000000, D_nn = 2.7e-14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PC2 график ↔ файл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 между нулями Z_id и файлом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 = 1.000000000000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PC0 окно нулей (след)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метод видит Λ-гребёнку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r_EF = +0.9998, остаток 2.1%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Декуи (случайные фазы)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нулевая зона корреляций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0.026±0.140 / +0.050±0.153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C3, C6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GUE-нуль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универсальность без тождества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⟨r⟩-плато; r_EF 0.43±0.71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C3–C5</w:t>
            </w:r>
          </w:p>
        </w:tc>
      </w:tr>
      <w:tr>
        <w:trPr>
          <w:cantSplit/>
        </w:trPr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Суррогатный нуль (блоки)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ширина тепловой метрики</w:t>
            </w:r>
          </w:p>
        </w:tc>
        <w:tc>
          <w:tcPr>
            <w:tcW w:type="pct" w:w="13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0.00±0.39</w:t>
            </w:r>
          </w:p>
        </w:tc>
        <w:tc>
          <w:tcPr>
            <w:tcW w:type="pct" w:w="9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  <w:tr>
        <w:trPr>
          <w:cantSplit/>
        </w:trPr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Пуассон-нуль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кластеризованные спектры</w:t>
            </w:r>
          </w:p>
        </w:tc>
        <w:tc>
          <w:tcPr>
            <w:tcW w:type="pct" w:w="13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0.08±0.80</w:t>
            </w:r>
          </w:p>
        </w:tc>
        <w:tc>
          <w:tcPr>
            <w:tcW w:type="pct" w:w="9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C4</w:t>
            </w:r>
          </w:p>
        </w:tc>
      </w:tr>
    </w:tbl>
    <w:p>
      <w:pPr>
        <w:spacing w:after="120"/>
      </w:pPr>
    </w:p>
    <w:p>
      <w:pPr>
        <w:pStyle w:val="Heading1"/>
        <w:spacing w:after="140" w:before="320"/>
      </w:pPr>
      <w:bookmarkStart w:name="_Toc4" w:id="4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Табель Гильберта–Пойа</w:t>
      </w:r>
      <w:bookmarkEnd w:id="4"/>
    </w:p>
    <w:p>
      <w:pPr>
        <w:keepNext/>
        <w:spacing w:after="60" w:before="140"/>
      </w:pPr>
      <w:r>
        <w:rPr>
          <w:rFonts w:ascii="Times New Roman" w:eastAsia="Times New Roman" w:hAnsi="Times New Roman"/>
          <w:b/>
          <w:bCs/>
          <w:color w:val="3B4F58"/>
          <w:sz w:val="19"/>
          <w:szCs w:val="19"/>
        </w:rPr>
        <w:t xml:space="preserve">Таблица 3. Пять вопросов программы</w:t>
      </w:r>
    </w:p>
    <w:tbl>
      <w:tblPr>
        <w:tblW w:type="pct" w:w="5000"/>
        <w:tblBorders>
          <w:top w:val="single" w:color="3B4F58" w:sz="4"/>
          <w:left w:val="none" w:color="auto" w:sz="0"/>
          <w:bottom w:val="single" w:color="3B4F58" w:sz="4"/>
          <w:right w:val="none" w:color="auto" w:sz="0"/>
          <w:insideH w:val="single" w:color="C7D3D9" w:sz="1"/>
          <w:insideV w:val="none" w:color="auto" w:sz="0"/>
        </w:tblBorders>
      </w:tblPr>
      <w:tblGrid>
        <w:gridCol w:w="703"/>
        <w:gridCol w:w="2636"/>
        <w:gridCol w:w="1055"/>
        <w:gridCol w:w="4394"/>
      </w:tblGrid>
      <w:tr>
        <w:trPr>
          <w:cantSplit/>
          <w:tblHeader/>
        </w:trPr>
        <w:tc>
          <w:tcPr>
            <w:tcW w:type="pct" w:w="4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Пункт</w:t>
            </w:r>
          </w:p>
        </w:tc>
        <w:tc>
          <w:tcPr>
            <w:tcW w:type="pct" w:w="1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pct" w:w="6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Вердикт</w:t>
            </w:r>
          </w:p>
        </w:tc>
        <w:tc>
          <w:tcPr>
            <w:tcW w:type="pct" w:w="2500"/>
            <w:shd w:fill="3B4F5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center"/>
            </w:pPr>
            <w:r>
              <w:rPr>
                <w:rFonts w:ascii="Times New Roman" w:eastAsia="Times New Roman" w:hAnsi="Times New Roman"/>
                <w:b/>
                <w:bCs/>
                <w:color w:val="FFFFFF"/>
                <w:sz w:val="17"/>
                <w:szCs w:val="17"/>
              </w:rPr>
              <w:t xml:space="preserve">Основание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Г1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самосопряжённость оператора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эрмитовость по построению; спектр вещественный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Г2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спектральное тождество уровень↔нуль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уровень суррогатного нуля по D_nn (C3); ≈0.5 порядка по невязке (C4); |r_H7| ≤ 0.097, Бонферрони 0.57 (C5)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Г3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класс GUE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⟨r⟩ = 0.60 при Nv ≥ 8; вся C5 в классе</w:t>
            </w:r>
          </w:p>
        </w:tc>
      </w:tr>
      <w:tr>
        <w:trPr>
          <w:cantSplit/>
        </w:trPr>
        <w:tc>
          <w:tcPr>
            <w:tcW w:type="pct" w:w="4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Г4</w:t>
            </w:r>
          </w:p>
        </w:tc>
        <w:tc>
          <w:tcPr>
            <w:tcW w:type="pct" w:w="1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дираковская динамика</w:t>
            </w:r>
          </w:p>
        </w:tc>
        <w:tc>
          <w:tcPr>
            <w:tcW w:type="pct" w:w="6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ДА</w:t>
            </w:r>
          </w:p>
        </w:tc>
        <w:tc>
          <w:tcPr>
            <w:tcW w:type="pct" w:w="2500"/>
            <w:shd w:fill="EBEDEE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когерентный пакет, энергия 1e-15 (C7)</w:t>
            </w:r>
          </w:p>
        </w:tc>
      </w:tr>
      <w:tr>
        <w:trPr>
          <w:cantSplit/>
        </w:trPr>
        <w:tc>
          <w:tcPr>
            <w:tcW w:type="pct" w:w="4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Г5</w:t>
            </w:r>
          </w:p>
        </w:tc>
        <w:tc>
          <w:tcPr>
            <w:tcW w:type="pct" w:w="1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простые в операторе</w:t>
            </w:r>
          </w:p>
        </w:tc>
        <w:tc>
          <w:tcPr>
            <w:tcW w:type="pct" w:w="6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НЕТ</w:t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line="240"/>
            </w:pPr>
            <w:r>
              <w:rPr>
                <w:rFonts w:ascii="Times New Roman" w:eastAsia="Times New Roman" w:hAnsi="Times New Roman"/>
                <w:color w:val="222526"/>
                <w:sz w:val="17"/>
                <w:szCs w:val="17"/>
              </w:rPr>
              <w:t xml:space="preserve">ψ-лестница 0.972 у нулей, нулевая зона у затворов (C6)</w:t>
            </w:r>
          </w:p>
        </w:tc>
      </w:tr>
    </w:tbl>
    <w:p>
      <w:pPr>
        <w:spacing w:after="120"/>
      </w:pP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Формула цикла после восьми кампаний: «резонатор построен и настроен (Г1+Г3+Г4); нули закодированы, а не порождены (Г2+Г5); вес простых верифицирован только для нулевого оператора (T6)». Дорожная карта дальнейшего — в results/ROADMAP.md: сшивка статистической и кодировочной ветвей, нелокальные конструкции следа, теоретико-числовое объяснение T9.</w:t>
      </w:r>
    </w:p>
    <w:sectPr>
      <w:footerReference w:type="default" r:id="rId7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Приложение: протоколы воспроизведения</dc:title>
  <dc:creator>Исаев Исхак Хамзатович</dc:creator>
  <dc:description>Окружение, сиды, словарь данных, реестр контролей, табель</dc:description>
  <cp:lastModifiedBy>Un-named</cp:lastModifiedBy>
  <cp:revision>1</cp:revision>
  <dcterms:created xsi:type="dcterms:W3CDTF">2026-10-15T03:08:21.484Z</dcterms:created>
  <dcterms:modified xsi:type="dcterms:W3CDTF">2026-10-15T03:08:21.484Z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