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shd w:fill="2E3F49" w:val="clear"/>
            <w:vAlign w:val="top"/>
          </w:tcPr>
          <w:p>
            <w:pPr>
              <w:spacing w:before="4847"/>
            </w:pPr>
          </w:p>
          <w:p>
            <w:pPr>
              <w:pBdr>
                <w:bottom w:val="single" w:color="298BBC" w:sz="6" w:space="8"/>
              </w:pBdr>
              <w:spacing w:after="500"/>
              <w:ind w:left="1100" w:right="900"/>
            </w:pPr>
            <w:r>
              <w:rPr>
                <w:rFonts w:ascii="Arial" w:eastAsia="Arial" w:hAnsi="Arial"/>
                <w:color w:val="298BBC"/>
                <w:spacing w:val="40"/>
                <w:sz w:val="19"/>
                <w:szCs w:val="19"/>
              </w:rPr>
              <w:t xml:space="preserve">HILBERT POLYA BRIDGE · MONOGRAPH SERIES</w:t>
            </w:r>
          </w:p>
          <w:p>
            <w:pPr>
              <w:spacing w:after="300" w:line="782" w:lineRule="atLeast"/>
              <w:ind w:left="1100" w:right="400"/>
            </w:pPr>
            <w:r>
              <w:rPr>
                <w:rFonts w:ascii="Arial" w:eastAsia="Arial" w:hAnsi="Arial"/>
                <w:b/>
                <w:bCs/>
                <w:color w:val="F0F4F5"/>
                <w:sz w:val="68"/>
                <w:szCs w:val="68"/>
              </w:rPr>
              <w:t xml:space="preserve">Wave-Packet Dynamics</w:t>
            </w:r>
          </w:p>
          <w:p>
            <w:pPr>
              <w:spacing w:after="700" w:line="340" w:lineRule="atLeast"/>
              <w:ind w:left="1100" w:right="600"/>
            </w:pPr>
            <w:r>
              <w:rPr>
                <w:rFonts w:ascii="Arial" w:eastAsia="Arial" w:hAnsi="Arial"/>
                <w:color w:val="B7C6CC"/>
                <w:sz w:val="25"/>
                <w:szCs w:val="25"/>
              </w:rPr>
              <w:t xml:space="preserve">Coherent propagation on L=96; the ζ-cloud is more transparent than random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Ishak Khamzatovich Isaev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Independent researcher, Nalchik, Kabardino-Balkarian Republic</w:t>
            </w:r>
          </w:p>
          <w:p>
            <w:pPr>
              <w:pBdr>
                <w:left w:val="single" w:color="298BBC" w:sz="8" w:space="12"/>
              </w:pBdr>
              <w:spacing w:after="80"/>
              <w:ind w:left="1300"/>
            </w:pPr>
            <w:r>
              <w:rPr>
                <w:rFonts w:ascii="Arial" w:eastAsia="Arial" w:hAnsi="Arial"/>
                <w:color w:val="D7E2E6"/>
                <w:sz w:val="21"/>
                <w:szCs w:val="21"/>
              </w:rPr>
              <w:t xml:space="preserve">Hilbert Polya Bridge · monograph series C1–C8 · volume C7</w:t>
            </w:r>
          </w:p>
          <w:p>
            <w:pPr>
              <w:spacing w:before="4847"/>
            </w:pPr>
          </w:p>
          <w:p>
            <w:pPr>
              <w:pBdr>
                <w:top w:val="single" w:color="298BBC" w:sz="2" w:space="8"/>
              </w:pBdr>
              <w:spacing w:before="200"/>
              <w:ind w:left="1100" w:right="900"/>
            </w:pP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v1.0.0</w:t>
            </w:r>
            <w:r>
              <w:t xml:space="preserve">                                        </w:t>
            </w:r>
            <w:r>
              <w:rPr>
                <w:rFonts w:ascii="Arial" w:eastAsia="Arial" w:hAnsi="Arial"/>
                <w:color w:val="93A7AE"/>
                <w:sz w:val="16"/>
                <w:szCs w:val="16"/>
              </w:rPr>
              <w:t xml:space="preserve">October 10,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Arial" w:eastAsia="Arial" w:hAnsi="Arial"/>
          <w:b/>
          <w:bCs/>
          <w:color w:val="3B4F58"/>
          <w:sz w:val="32"/>
          <w:szCs w:val="32"/>
        </w:rPr>
        <w:t xml:space="preserve">Contents</w:t>
      </w:r>
    </w:p>
    <w:sdt>
      <w:sdtPr>
        <w:alias w:val="TOC"/>
      </w:sdtPr>
      <w:sdtContent>
        <w:p>
          <w:r>
            <w:fldChar w:fldCharType="begin" w:dirty="true"/>
          </w:r>
          <w:r>
            <w:instrText xml:space="preserve">TOC \h \o "1-1"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Introduction and setting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Results: three effects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Conclusions and boundaries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Times New Roman" w:eastAsia="Times New Roman" w:hAnsi="Times New Roman"/>
          <w:i/>
          <w:iCs/>
          <w:color w:val="888888"/>
          <w:sz w:val="17"/>
          <w:szCs w:val="17"/>
        </w:rPr>
        <w:t xml:space="preserve">Note: this table of contents is built on Word field codes. After editing, right-click it and choose "Update Field".</w:t>
      </w:r>
    </w:p>
    <w:p>
      <w:r>
        <w:br w:type="page"/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spacing w:after="60" w:before="120"/>
      </w:pPr>
      <w:r>
        <w:rPr>
          <w:rFonts w:ascii="Arial" w:eastAsia="Arial" w:hAnsi="Arial"/>
          <w:b/>
          <w:bCs/>
          <w:color w:val="3B4F58"/>
          <w:sz w:val="40"/>
          <w:szCs w:val="40"/>
        </w:rPr>
        <w:t xml:space="preserve">Wave-Packet Dynamics</w:t>
      </w:r>
    </w:p>
    <w:p>
      <w:pPr>
        <w:spacing w:after="200"/>
      </w:pPr>
      <w:r>
        <w:rPr>
          <w:rFonts w:ascii="Times New Roman" w:eastAsia="Times New Roman" w:hAnsi="Times New Roman"/>
          <w:color w:val="777E81"/>
          <w:sz w:val="19"/>
          <w:szCs w:val="19"/>
        </w:rPr>
        <w:t xml:space="preserve">Ishak Khamzatovich Isaev · Independent researcher, Nalchik, Kabardino-Balkarian Republic · Hilbert Polya Bridge · monograph series C1–C8 · C7</w:t>
      </w:r>
    </w:p>
    <w:p>
      <w:pPr>
        <w:pStyle w:val="Heading1"/>
        <w:spacing w:after="140" w:before="320"/>
      </w:pPr>
      <w:bookmarkStart w:id="100000" w:name="_Toc100000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Introduction and setting</w:t>
      </w:r>
      <w:bookmarkEnd w:id="100000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Campaign C7 tests the dynamical dimension of the Hilbert–Pólya programme: if the lattice resonator is an electron on a flux lattice, a wave packet must propagate coherently, reflect from the boundaries and scatter on the vortices. We use a sparse 96×96 Hamiltonian with open boundaries, integration step dt = 0.1 and horizon T = 40; the energy is conserved to 1e-15 on every trajectory — the dynamics is honest.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key comparison: the ζ-cloud (vortices whose positions are encoded by the heights of the zeros) against a random cloud of the same density. If the phase structure is physical, it must show up in the transport.</w:t>
      </w:r>
    </w:p>
    <w:p>
      <w:pPr>
        <w:pStyle w:val="Heading1"/>
        <w:spacing w:after="140" w:before="320"/>
      </w:pPr>
      <w:bookmarkStart w:id="100001" w:name="_Toc100001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Results: three effects</w:t>
      </w:r>
      <w:bookmarkEnd w:id="100001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first effect is coherence: on the clean lattice ⟨x⟩ moves from 24 to the wall (t ≈ 14.5, reflection) and back out to 44 — a classical billiard trajectory without decay. The second is vortex scattering: Nv = 16 hardly interferes (the ζ-cloud is nearly transparent), Nv = 64 brakes the packet (R = 0.39), and Nv = 256 gives R = 0.47 plus a transverse drift ⟨y⟩: 48 → 38; a random cloud produces no drift — the vortex phase structure steers, the random one only brakes.</w:t>
      </w:r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third effect is transport: the probability of reaching the far wing P(x ≥ 90) is ~16 times higher for the ζ-cloud than for the random one (0.0032 against 0.0002) — an independent reproduction of the repulsion-protects-transport effect of the D10 convention. This is the dynamical face of the Montgomery pair correlations: regularity of phases reduces backscattering.</w:t>
      </w:r>
    </w:p>
    <w:p>
      <w:pPr>
        <w:spacing w:before="120"/>
        <w:jc w:val="center"/>
      </w:pPr>
      <w:r>
        <w:drawing>
          <wp:inline distT="0" distB="0" distL="0" distR="0">
            <wp:extent cx="4381500" cy="2305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eastAsia="Times New Roman" w:hAnsi="Times New Roman"/>
          <w:i/>
          <w:iCs/>
          <w:color w:val="777E81"/>
          <w:sz w:val="17"/>
          <w:szCs w:val="17"/>
        </w:rPr>
        <w:t xml:space="preserve">Fig. 1. ⟨x⟩(t) for five configurations: clean lattice (teal), ζ-clouds Nv=16/64/256 (copper/gold/slate), random Nv=256 (grey).</w:t>
      </w:r>
    </w:p>
    <w:p>
      <w:pPr>
        <w:pStyle w:val="Heading1"/>
        <w:spacing w:after="140" w:before="320"/>
      </w:pPr>
      <w:bookmarkStart w:id="100002" w:name="_Toc100002"/>
      <w:r>
        <w:rPr>
          <w:rFonts w:ascii="Arial" w:eastAsia="Arial" w:hAnsi="Arial"/>
          <w:b/>
          <w:bCs/>
          <w:color w:val="3B4F58"/>
          <w:sz w:val="30"/>
          <w:szCs w:val="30"/>
        </w:rPr>
        <w:t xml:space="preserve">Conclusions and boundaries</w:t>
      </w:r>
      <w:bookmarkEnd w:id="100002"/>
    </w:p>
    <w:p>
      <w:pPr>
        <w:spacing w:after="120" w:line="312"/>
        <w:jc w:val="both"/>
      </w:pPr>
      <w:r>
        <w:rPr>
          <w:rFonts w:ascii="Times New Roman" w:eastAsia="Times New Roman" w:hAnsi="Times New Roman"/>
          <w:color w:val="222526"/>
          <w:sz w:val="21"/>
          <w:szCs w:val="21"/>
        </w:rPr>
        <w:t xml:space="preserve">The claim that the lattice reproduces the motion of an electron is confirmed in the honest dynamical sense: coherent propagation, reflection, scattering, energy conservation. All of the dynamics lives on the self-dual line α = ½, where the π flux turns the lattice into a discretised massless Dirac equation (criterion H4 — YES). The identification of this line with Re(s) = ½ remains a conjectural bridge: statistical support exists (D7/D10), identity does not, and campaigns C3–C5 measured the distance to it in three projections.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Times New Roman" w:hAnsi="Times New Roman"/>
        <w:color w:val="777E81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/>
        <w:color w:val="222526"/>
        <w:sz w:val="21"/>
        <w:szCs w:val="21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eastAsia="Arial" w:hAnsi="Arial"/>
      <w:b/>
      <w:bCs/>
      <w:color w:val="3B4F58"/>
      <w:sz w:val="30"/>
      <w:szCs w:val="30"/>
    </w:rPr>
  </w:style>
  <w:style w:type="paragraph" w:styleId="Heading2">
    <w:pPr>
      <w:outlineLvl w:val="1"/>
    </w:pPr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4b6effaa7d8a365169fc438cc77fbaa0c0ac5ac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Wave-Packet Dynamics</dc:title>
  <dc:creator>Ishak Khamzatovich Isaev</dc:creator>
  <dc:description>Coherent propagation on L=96; the ζ-cloud is more transparent than random</dc:description>
  <cp:lastModifiedBy>Un-named</cp:lastModifiedBy>
  <cp:revision>1</cp:revision>
  <dcterms:created xsi:type="dcterms:W3CDTF">2026-10-09T20:00:49.862Z</dcterms:created>
  <dcterms:modified xsi:type="dcterms:W3CDTF">2026-10-09T20:00:49.862Z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