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4600"/>
      </w:pPr>
    </w:p>
    <w:p>
      <w:pPr>
        <w:spacing w:after="360" w:line="312" w:lineRule="auto"/>
        <w:jc w:val="center"/>
      </w:pPr>
      <w:r>
        <w:rPr>
          <w:rFonts w:ascii="Times New Roman" w:hAnsi="Times New Roman" w:eastAsia="SimSun"/>
          <w:b w:val="0"/>
          <w:i w:val="0"/>
          <w:sz w:val="16"/>
        </w:rPr>
        <w:t>choptuik_ac_bc · theorems12 · github.com/wild8highlander/choptuik_ac_bc</w:t>
      </w:r>
    </w:p>
    <w:p>
      <w:pPr>
        <w:spacing w:after="0" w:line="300" w:lineRule="auto"/>
        <w:jc w:val="center"/>
      </w:pPr>
      <w:r>
        <w:rPr>
          <w:rFonts w:ascii="Times New Roman" w:hAnsi="Times New Roman" w:eastAsia="SimSun"/>
          <w:b/>
          <w:i w:val="0"/>
          <w:sz w:val="34"/>
        </w:rPr>
        <w:t>The Weight-Rule Theorem:</w:t>
      </w:r>
    </w:p>
    <w:p>
      <w:pPr>
        <w:spacing w:after="0" w:line="300" w:lineRule="auto"/>
        <w:jc w:val="center"/>
      </w:pPr>
      <w:r>
        <w:rPr>
          <w:rFonts w:ascii="Times New Roman" w:hAnsi="Times New Roman" w:eastAsia="SimSun"/>
          <w:b/>
          <w:i w:val="0"/>
          <w:sz w:val="34"/>
        </w:rPr>
        <w:t>(λ + p)…(λ + p + n − 1)F and</w:t>
      </w:r>
    </w:p>
    <w:p>
      <w:pPr>
        <w:spacing w:after="200" w:line="300" w:lineRule="auto"/>
        <w:jc w:val="center"/>
      </w:pPr>
      <w:r>
        <w:rPr>
          <w:rFonts w:ascii="Times New Roman" w:hAnsi="Times New Roman" w:eastAsia="SimSun"/>
          <w:b/>
          <w:i w:val="0"/>
          <w:sz w:val="34"/>
        </w:rPr>
        <w:t>the invariance of the cubic pencil</w:t>
      </w:r>
    </w:p>
    <w:p>
      <w:pPr>
        <w:spacing w:after="0" w:line="312" w:lineRule="auto"/>
        <w:jc w:val="center"/>
      </w:pPr>
      <w:r>
        <w:rPr>
          <w:rFonts w:ascii="Times New Roman" w:hAnsi="Times New Roman" w:eastAsia="SimSun"/>
          <w:b w:val="0"/>
          <w:i w:val="0"/>
          <w:sz w:val="13"/>
        </w:rPr>
        <w:t>12/12 cases exact · char3 = (1 + λ²)⁹·char2 · ±i are phantoms (40 digits)</w:t>
      </w:r>
    </w:p>
    <w:p>
      <w:pPr>
        <w:spacing w:before="80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52"/>
        <w:gridCol w:w="4252"/>
      </w:tblGrid>
      <w:tr>
        <w:tc>
          <w:tcPr>
            <w:tcW w:type="dxa" w:w="4252"/>
            <w:tcW w:type="pct" w:w="1250"/>
            <w:tcMar>
              <w:top w:type="dxa" w:w="60"/>
              <w:left w:type="dxa" w:w="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Author:</w:t>
            </w:r>
          </w:p>
        </w:tc>
        <w:tc>
          <w:tcPr>
            <w:tcW w:type="dxa" w:w="4252"/>
            <w:tcW w:type="pct" w:w="3750"/>
            <w:tcMar>
              <w:top w:type="dxa" w:w="60"/>
              <w:left w:type="dxa" w:w="8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4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Isahk Khamzatovich Isaev</w:t>
            </w:r>
          </w:p>
        </w:tc>
      </w:tr>
      <w:tr>
        <w:tc>
          <w:tcPr>
            <w:tcW w:type="dxa" w:w="4252"/>
            <w:tcW w:type="pct" w:w="1250"/>
            <w:tcMar>
              <w:top w:type="dxa" w:w="60"/>
              <w:left w:type="dxa" w:w="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Series:</w:t>
            </w:r>
          </w:p>
        </w:tc>
        <w:tc>
          <w:tcPr>
            <w:tcW w:type="dxa" w:w="4252"/>
            <w:tcW w:type="pct" w:w="3750"/>
            <w:tcMar>
              <w:top w:type="dxa" w:w="60"/>
              <w:left w:type="dxa" w:w="8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4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Monograph No. 04 of the “Twelve Theorems” cycle</w:t>
            </w:r>
          </w:p>
        </w:tc>
      </w:tr>
      <w:tr>
        <w:tc>
          <w:tcPr>
            <w:tcW w:type="dxa" w:w="4252"/>
            <w:tcW w:type="pct" w:w="1250"/>
            <w:tcMar>
              <w:top w:type="dxa" w:w="60"/>
              <w:left w:type="dxa" w:w="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Machine:</w:t>
            </w:r>
          </w:p>
        </w:tc>
        <w:tc>
          <w:tcPr>
            <w:tcW w:type="dxa" w:w="4252"/>
            <w:tcW w:type="pct" w:w="3750"/>
            <w:tcMar>
              <w:top w:type="dxa" w:w="60"/>
              <w:left w:type="dxa" w:w="8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4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sympy_third_order.py · SymPy, exact</w:t>
            </w:r>
          </w:p>
        </w:tc>
      </w:tr>
      <w:tr>
        <w:tc>
          <w:tcPr>
            <w:tcW w:type="dxa" w:w="4252"/>
            <w:tcW w:type="pct" w:w="1250"/>
            <w:tcMar>
              <w:top w:type="dxa" w:w="60"/>
              <w:left w:type="dxa" w:w="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Verdict:</w:t>
            </w:r>
          </w:p>
        </w:tc>
        <w:tc>
          <w:tcPr>
            <w:tcW w:type="dxa" w:w="4252"/>
            <w:tcW w:type="pct" w:w="3750"/>
            <w:tcMar>
              <w:top w:type="dxa" w:w="60"/>
              <w:left w:type="dxa" w:w="8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4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einstein_direct/results/third_order_tables.json</w:t>
            </w:r>
          </w:p>
        </w:tc>
      </w:tr>
      <w:tr>
        <w:tc>
          <w:tcPr>
            <w:tcW w:type="dxa" w:w="4252"/>
            <w:tcW w:type="pct" w:w="1250"/>
            <w:tcMar>
              <w:top w:type="dxa" w:w="60"/>
              <w:left w:type="dxa" w:w="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Status:</w:t>
            </w:r>
          </w:p>
        </w:tc>
        <w:tc>
          <w:tcPr>
            <w:tcW w:type="dxa" w:w="4252"/>
            <w:tcW w:type="pct" w:w="3750"/>
            <w:tcMar>
              <w:top w:type="dxa" w:w="60"/>
              <w:left w:type="dxa" w:w="80"/>
              <w:bottom w:type="dxa" w:w="60"/>
              <w:right w:type="dxa" w:w="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4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4"/>
              </w:rPr>
              <w:t>PROVED EXACTLY (12/12 weight cases, pencil identity)</w:t>
            </w:r>
          </w:p>
        </w:tc>
      </w:tr>
    </w:tbl>
    <w:p>
      <w:pPr>
        <w:spacing w:before="520" w:after="0" w:line="240" w:lineRule="auto"/>
      </w:pPr>
    </w:p>
    <w:p>
      <w:pPr>
        <w:spacing w:line="312" w:lineRule="auto"/>
        <w:jc w:val="center"/>
      </w:pPr>
      <w:r>
        <w:rPr>
          <w:rFonts w:ascii="Times New Roman" w:hAnsi="Times New Roman" w:eastAsia="SimSun"/>
          <w:b w:val="0"/>
          <w:i w:val="0"/>
          <w:sz w:val="16"/>
        </w:rPr>
        <w:t>2026 · Isaev Proprietary License · folder theorems12</w:t>
      </w:r>
    </w:p>
    <w:p>
      <w:pPr>
        <w:sectPr>
          <w:pgSz w:w="11906" w:h="16838"/>
          <w:pgMar w:top="0" w:right="1701" w:bottom="0" w:left="1701" w:header="708" w:footer="708" w:gutter="0"/>
          <w:cols w:space="720"/>
          <w:docGrid w:linePitch="360"/>
        </w:sectPr>
      </w:pPr>
    </w:p>
    <w:p>
      <w:pPr>
        <w:spacing w:before="24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Abstract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This monograph records the weight-rule theorem of the third order of the truncated tower: for all pairs (p, n) ∈ {0, 1, 2, 4} × {1, 2, 3} the n-th-order table of the profile residue of weight p factorizes exactly as the product (λ + p)(λ + p + 1)…(λ + p + n − 1)F with constant coefficients, a zero completeness residual and the leading coefficient 1 at all second-derivative slots — a coefficient previously accepted by precedent is derived here for the first time.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The main corollary is prolongation invariance: the cubic pencil of the prolonged system satisfies the exact identity M3ᵀM3 = (1 + λ²)M2ᵀM2, the characteristic polynomials are linked by the law char3 = (1 + λ²)⁹·char2, the rank drops are unchanged, and the pair ±i is refuted by the 40-digit filter as a phantom. The third order adds no genuine linear dynamics; δ_mono = 0 is stable. All rule polynomials, the tables of layers T1–T4, the corollaries, the honest caveats and the reproduction protocol are included.</w:t>
      </w:r>
    </w:p>
    <w:p>
      <w:pPr>
        <w:spacing w:after="40" w:line="360" w:lineRule="auto"/>
      </w:pPr>
    </w:p>
    <w:p>
      <w:pPr>
        <w:spacing w:after="0" w:line="360" w:lineRule="auto"/>
        <w:jc w:val="both"/>
      </w:pPr>
      <w:r>
        <w:rPr>
          <w:rFonts w:ascii="Times New Roman" w:hAnsi="Times New Roman" w:eastAsia="SimSun"/>
          <w:b/>
          <w:i w:val="0"/>
          <w:sz w:val="24"/>
        </w:rPr>
        <w:t xml:space="preserve">Keywords: </w:t>
      </w:r>
      <w:r>
        <w:rPr>
          <w:rFonts w:ascii="Times New Roman" w:hAnsi="Times New Roman" w:eastAsia="SimSun"/>
          <w:b w:val="0"/>
          <w:i w:val="0"/>
          <w:sz w:val="24"/>
        </w:rPr>
        <w:t>weight rule, higher-order tables, cubic pencil, prolongation invariance, phantoms ±i, SymPy, machine proof.</w:t>
      </w:r>
    </w:p>
    <w:p>
      <w:pPr>
        <w:spacing w:after="0" w:line="240" w:lineRule="auto"/>
      </w:pPr>
      <w:r>
        <w:br w:type="page"/>
      </w:r>
    </w:p>
    <w:p>
      <w:pPr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Table of Contents</w:t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1. Introduction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_Toc100001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2. Notation and Setting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_Toc100002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3. Statement of the Theorem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_Toc100003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4. Sketch of the Machine Proof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_Toc100004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  <w:ind w:left="240"/>
      </w:pPr>
      <w:r>
        <w:rPr>
          <w:rFonts w:ascii="Times New Roman" w:hAnsi="Times New Roman" w:eastAsia="SimSun"/>
          <w:b w:val="0"/>
          <w:i w:val="0"/>
          <w:sz w:val="24"/>
        </w:rPr>
        <w:t>4.1. The twelve cases of the weight rule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_Toc100005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  <w:ind w:left="240"/>
      </w:pPr>
      <w:r>
        <w:rPr>
          <w:rFonts w:ascii="Times New Roman" w:hAnsi="Times New Roman" w:eastAsia="SimSun"/>
          <w:b w:val="0"/>
          <w:i w:val="0"/>
          <w:sz w:val="24"/>
        </w:rPr>
        <w:t>4.2. The pencil and its invariance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_Toc100006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5. Numerical Results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_Toc100007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6. Corollaries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_Toc100008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7. Honest Caveats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_Toc100009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8. Reproducibility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_Toc100010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60" w:after="60" w:line="276" w:lineRule="auto"/>
        <w:tabs>
          <w:tab w:val="right" w:leader="dot" w:pos="9026"/>
        </w:tabs>
      </w:pPr>
      <w:r>
        <w:rPr>
          <w:rFonts w:ascii="Times New Roman" w:hAnsi="Times New Roman" w:eastAsia="SimSun"/>
          <w:b/>
          <w:i w:val="0"/>
          <w:sz w:val="24"/>
        </w:rPr>
        <w:t>References</w:t>
      </w:r>
      <w:r>
        <w:tab/>
      </w:r>
      <w:r>
        <w:rPr>
          <w:rFonts w:ascii="Times New Roman" w:hAnsi="Times New Roman" w:eastAsia="SimSun"/>
          <w:b w:val="0"/>
          <w:i w:val="0"/>
          <w:sz w:val="24"/>
        </w:rPr>
        <w:fldChar w:fldCharType="begin"/>
      </w:r>
      <w:r>
        <w:rPr>
          <w:rFonts w:ascii="Times New Roman" w:hAnsi="Times New Roman" w:eastAsia="SimSun"/>
          <w:b w:val="0"/>
          <w:i w:val="0"/>
          <w:sz w:val="24"/>
        </w:rPr>
        <w:instrText xml:space="preserve"> PAGEREF _Toc100011 \h </w:instrText>
      </w:r>
      <w:r>
        <w:rPr>
          <w:rFonts w:ascii="Times New Roman" w:hAnsi="Times New Roman" w:eastAsia="SimSun"/>
          <w:b w:val="0"/>
          <w:i w:val="0"/>
          <w:sz w:val="24"/>
        </w:rPr>
        <w:fldChar w:fldCharType="separate"/>
      </w:r>
      <w:r>
        <w:rPr>
          <w:rFonts w:ascii="Times New Roman" w:hAnsi="Times New Roman" w:eastAsia="SimSun"/>
          <w:b w:val="0"/>
          <w:i w:val="0"/>
          <w:sz w:val="24"/>
        </w:rPr>
        <w:t>2</w:t>
      </w:r>
      <w:r>
        <w:rPr>
          <w:rFonts w:ascii="Times New Roman" w:hAnsi="Times New Roman" w:eastAsia="SimSun"/>
          <w:b w:val="0"/>
          <w:i w:val="0"/>
          <w:sz w:val="24"/>
        </w:rPr>
        <w:fldChar w:fldCharType="end"/>
      </w:r>
    </w:p>
    <w:p>
      <w:pPr>
        <w:spacing w:before="200" w:after="0" w:line="312" w:lineRule="auto"/>
      </w:pPr>
      <w:r>
        <w:rPr>
          <w:rFonts w:ascii="Times New Roman" w:hAnsi="Times New Roman" w:eastAsia="SimSun"/>
          <w:b w:val="0"/>
          <w:i/>
          <w:color w:val="888888"/>
          <w:sz w:val="18"/>
        </w:rPr>
        <w:t>Note: the Table of Contents is generated via field codes. After editing, refresh the page numbers: right-click the TOC and select “Update Field”.</w:t>
      </w:r>
    </w:p>
    <w:p>
      <w:pPr>
        <w:sectPr>
          <w:headerReference w:type="default" r:id="rId9"/>
          <w:footerReference w:type="default" r:id="rId10"/>
          <w:pgSz w:w="11906" w:h="16838"/>
          <w:pgMar w:top="1440" w:right="1417" w:bottom="1440" w:left="1701" w:header="850" w:footer="992" w:gutter="0"/>
          <w:cols w:space="720"/>
          <w:docGrid w:linePitch="360"/>
          <w:pgNumType w:fmt="upperRoman" w:start="1"/>
        </w:sectPr>
      </w:pP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1. Introduction</w:t>
      </w:r>
      <w:bookmarkStart w:id="100" w:name="_Toc100001"/>
      <w:bookmarkEnd w:id="100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The fourth monograph records the weight-rule theorem — the exact law by which the higher-derivative tables of the truncated tower factorize through the senior profile factor — together with its main corollary: the prolongation invariance of the cubic pencil. The result was delivered by campaign v14 (machine sympy_third_order.py, verdict third_order_tables.json, LEDGER §25) as the answer to the question: does the de-adiabatic pattern (l + 2)(l + 3)F / (l + 4)(l + 5)F of the second order extend to the third order, and does the third order add genuine linear dynamics?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The answer is twofold. Yes, the pattern extends: all third-order tables factorize as the exact product (λ + p)(λ + p + 1)…(λ + p + n − 1)F for all twelve pairs (p, n) of the studied set, and the coefficient 1 at the second derivatives — the one accepted “by the ddQ precedent” in machine v13 — is derived for the first time, not chosen. And no, nothing new appears: the cubic pencil of the prolonged system {F = 0, dF/dτ = 0} possesses the exact identity M3ᵀM3 = (1 + λ²)M2ᵀM2, the characteristic polynomial factorizes as char3 = (1 + λ²)⁹·char2, and the pair ±i are phantoms refuted by the 40-digit filter. The spectrum is prolongation-invariant; the third order adds no genuine linear dynamics.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2. Notation and Setting</w:t>
      </w:r>
      <w:bookmarkStart w:id="101" w:name="_Toc100002"/>
      <w:bookmarkEnd w:id="101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A profile of weight p is a tower amplitude entering the sources with the weight s^(+p), where s is the scale factor of the adiabatic representation. An n-th-order table is the n-th derivative with respect to the log-time y of the profile residue: its right-hand side is expressed through the amplitudes and their derivatives up to order n. The pencil M(λ) of the linearized prolonged system is a matrix pencil whose rank drops determine the spectrum; M2 is the second-order pencil (quadratic in λ), M3 the cubic one built from the prolongation {F = 0, dF/dτ = 0}.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The setting: to prove for all pairs (p, n) ∈ {0, 1, 2, 4} × {1, 2, 3} that the n-th-order table of the weight-p profile equals the product (λ + p)…(λ + p + n − 1)F with constant coefficients and leading coefficient 1 at every second-derivative slot; then to prove the exact pencil identity and its consequence for the characteristic polynomials.</w:t>
      </w:r>
    </w:p>
    <w:p>
      <w:pPr>
        <w:keepNext/>
        <w:spacing w:before="200" w:after="60" w:line="360" w:lineRule="auto"/>
        <w:jc w:val="center"/>
      </w:pPr>
      <w:r>
        <w:rPr>
          <w:rFonts w:ascii="Times New Roman" w:hAnsi="Times New Roman" w:eastAsia="SimSun"/>
          <w:b w:val="0"/>
          <w:i w:val="0"/>
          <w:sz w:val="21"/>
        </w:rPr>
        <w:t>Table 4.1. Notation of the monograph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94"/>
        <w:gridCol w:w="4394"/>
      </w:tblGrid>
      <w:tr>
        <w:trPr>
          <w:cantSplit/>
          <w:tblHeader/>
        </w:trPr>
        <w:tc>
          <w:tcPr>
            <w:tcW w:type="dxa" w:w="4394"/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Symbol</w:t>
            </w:r>
          </w:p>
        </w:tc>
        <w:tc>
          <w:tcPr>
            <w:tcW w:type="dxa" w:w="4394"/>
            <w:tcW w:type="pct" w:w="46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Meaning</w:t>
            </w:r>
          </w:p>
        </w:tc>
      </w:tr>
      <w:tr>
        <w:tc>
          <w:tcPr>
            <w:tcW w:type="dxa" w:w="4394"/>
            <w:tcW w:type="pct" w:w="14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p</w:t>
            </w:r>
          </w:p>
        </w:tc>
        <w:tc>
          <w:tcPr>
            <w:tcW w:type="dxa" w:w="4394"/>
            <w:tcW w:type="pct" w:w="4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weight of the profile amplitude in the sources (s^p)</w:t>
            </w:r>
          </w:p>
        </w:tc>
      </w:tr>
      <w:tr>
        <w:tc>
          <w:tcPr>
            <w:tcW w:type="dxa" w:w="4394"/>
            <w:tcW w:type="pct" w:w="14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n</w:t>
            </w:r>
          </w:p>
        </w:tc>
        <w:tc>
          <w:tcPr>
            <w:tcW w:type="dxa" w:w="4394"/>
            <w:tcW w:type="pct" w:w="4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order of the table (n-th derivative in y)</w:t>
            </w:r>
          </w:p>
        </w:tc>
      </w:tr>
      <w:tr>
        <w:tc>
          <w:tcPr>
            <w:tcW w:type="dxa" w:w="4394"/>
            <w:tcW w:type="pct" w:w="14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F</w:t>
            </w:r>
          </w:p>
        </w:tc>
        <w:tc>
          <w:tcPr>
            <w:tcW w:type="dxa" w:w="4394"/>
            <w:tcW w:type="pct" w:w="4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the profile residue (closing slot of the second derivatives)</w:t>
            </w:r>
          </w:p>
        </w:tc>
      </w:tr>
      <w:tr>
        <w:tc>
          <w:tcPr>
            <w:tcW w:type="dxa" w:w="4394"/>
            <w:tcW w:type="pct" w:w="14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λ</w:t>
            </w:r>
          </w:p>
        </w:tc>
        <w:tc>
          <w:tcPr>
            <w:tcW w:type="dxa" w:w="4394"/>
            <w:tcW w:type="pct" w:w="4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spectral parameter of the pencil</w:t>
            </w:r>
          </w:p>
        </w:tc>
      </w:tr>
      <w:tr>
        <w:tc>
          <w:tcPr>
            <w:tcW w:type="dxa" w:w="4394"/>
            <w:tcW w:type="pct" w:w="14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M2, M3</w:t>
            </w:r>
          </w:p>
        </w:tc>
        <w:tc>
          <w:tcPr>
            <w:tcW w:type="dxa" w:w="4394"/>
            <w:tcW w:type="pct" w:w="4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quadratic and cubic pencils of the prolonged system</w:t>
            </w:r>
          </w:p>
        </w:tc>
      </w:tr>
      <w:tr>
        <w:tc>
          <w:tcPr>
            <w:tcW w:type="dxa" w:w="4394"/>
            <w:tcW w:type="pct" w:w="14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char2, char3</w:t>
            </w:r>
          </w:p>
        </w:tc>
        <w:tc>
          <w:tcPr>
            <w:tcW w:type="dxa" w:w="4394"/>
            <w:tcW w:type="pct" w:w="4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characteristic polynomials of the pencils M2, M3</w:t>
            </w:r>
          </w:p>
        </w:tc>
      </w:tr>
    </w:tbl>
    <w:p>
      <w:pPr>
        <w:spacing w:after="120" w:line="360" w:lineRule="auto"/>
      </w:pP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3. Statement of the Theorem</w:t>
      </w:r>
      <w:bookmarkStart w:id="102" w:name="_Toc100003"/>
      <w:bookmarkEnd w:id="102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Theorem 4 (the weight rule and prolongation invariance). For all pairs (p, n) ∈ {0, 1, 2, 4} × {1, 2, 3}: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(i) the n-th-order table of the weight-p profile factorizes exactly:</w:t>
      </w:r>
    </w:p>
    <w:p>
      <w:pPr>
        <w:spacing w:before="120" w:after="120" w:line="360" w:lineRule="auto"/>
        <w:tabs>
          <w:tab w:val="center" w:pos="4300"/>
          <w:tab w:val="right" w:pos="8700"/>
        </w:tabs>
      </w:pPr>
      <w:r>
        <w:tab/>
      </w:r>
      <w:r>
        <w:rPr>
          <w:rFonts w:ascii="Times New Roman" w:hAnsi="Times New Roman" w:eastAsia="SimSun"/>
          <w:b w:val="0"/>
          <w:i/>
          <w:sz w:val="24"/>
        </w:rPr>
        <w:t>T_n[p] = (λ + p)(λ + p + 1)…(λ + p + n − 1)·F</w:t>
      </w:r>
      <w:r>
        <w:rPr>
          <w:rFonts w:ascii="Times New Roman" w:hAnsi="Times New Roman" w:eastAsia="SimSun"/>
          <w:b w:val="0"/>
          <w:i w:val="0"/>
          <w:sz w:val="24"/>
        </w:rPr>
        <w:tab/>
        <w:t>(4.1)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with constant coefficients (coefficients_constant = true), zero completeness residual (completeness_residual = 0) and leading coefficient 1 at every second-derivative slot (leading_coeff_1 = true);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(ii) the third-order tables are exact y-derivatives of the second-order ones: W2″ = (6W2h + 5dW2h + ddW2h)/s⁴, W2″″ = (24W2h + 26dW2h + 9ddW2h + dddW2h)/s⁵ and analogously for R3, P4, R5; the mode factorizations are: W2/R3 — λ³ + 9λ² + 26λ + 24, P4 — λ³ + 15λ² + 74λ + 120, R5 — λ² + 9λ + 20;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(iii) the cubic pencil of the prolongation is structurally invariant: M3 = [M2; λM2] and</w:t>
      </w:r>
    </w:p>
    <w:p>
      <w:pPr>
        <w:spacing w:before="120" w:after="120" w:line="360" w:lineRule="auto"/>
        <w:tabs>
          <w:tab w:val="center" w:pos="4300"/>
          <w:tab w:val="right" w:pos="8700"/>
        </w:tabs>
      </w:pPr>
      <w:r>
        <w:tab/>
      </w:r>
      <w:r>
        <w:rPr>
          <w:rFonts w:ascii="Times New Roman" w:hAnsi="Times New Roman" w:eastAsia="SimSun"/>
          <w:b w:val="0"/>
          <w:i/>
          <w:sz w:val="24"/>
        </w:rPr>
        <w:t>M3ᵀM3 = (1 + λ²)·M2ᵀM2</w:t>
      </w:r>
      <w:r>
        <w:rPr>
          <w:rFonts w:ascii="Times New Roman" w:hAnsi="Times New Roman" w:eastAsia="SimSun"/>
          <w:b w:val="0"/>
          <w:i w:val="0"/>
          <w:sz w:val="24"/>
        </w:rPr>
        <w:tab/>
        <w:t>(4.2)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(iv) the characteristic polynomials are linked by the exact law char3 = (1 + λ²)⁹·char2; the rank drops of M3 coincide with those of M2; the pair ±i is a phantom (relative σ_min = 2.285×10⁻⁵ on the 40-digit filter), the multiplicity of λ = 0 is unchanged (the λ⁴ structure of session 17).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4. Sketch of the Machine Proof</w:t>
      </w:r>
      <w:bookmarkStart w:id="103" w:name="_Toc100004"/>
      <w:bookmarkEnd w:id="103"/>
    </w:p>
    <w:p>
      <w:pPr>
        <w:keepNext/>
        <w:spacing w:before="360" w:after="240" w:line="360" w:lineRule="auto"/>
        <w:jc w:val="left"/>
      </w:pPr>
      <w:r>
        <w:rPr>
          <w:rFonts w:ascii="Times New Roman" w:hAnsi="Times New Roman" w:eastAsia="SimHei"/>
          <w:b/>
          <w:i w:val="0"/>
          <w:sz w:val="30"/>
        </w:rPr>
        <w:t>4.1. The twelve cases of the weight rule</w:t>
      </w:r>
      <w:bookmarkStart w:id="104" w:name="_Toc100005"/>
      <w:bookmarkEnd w:id="104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The machine sympy_third_order.py builds the tables symbolically: each y-derivative is computed by the weight rule d/dy = (1/s)(d/dτ + weight), after which the coefficients at every slot are compared with the product (λ + p)…(λ + p + n − 1)F. All twelve cases are closed with a zero completeness residual; the rule polynomials are written in Table 4.2. Essentially, the coefficient 1 at the dd-slots is now derived: it is inherited from the factorization, not postulated as in v13.</w:t>
      </w:r>
    </w:p>
    <w:p>
      <w:pPr>
        <w:keepNext/>
        <w:spacing w:before="200" w:after="60" w:line="360" w:lineRule="auto"/>
        <w:jc w:val="center"/>
      </w:pPr>
      <w:r>
        <w:rPr>
          <w:rFonts w:ascii="Times New Roman" w:hAnsi="Times New Roman" w:eastAsia="SimSun"/>
          <w:b w:val="0"/>
          <w:i w:val="0"/>
          <w:sz w:val="21"/>
        </w:rPr>
        <w:t>Table 4.2. The weight-rule polynomials (all 12 cases exact, residuals = 0)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97"/>
        <w:gridCol w:w="2197"/>
        <w:gridCol w:w="2197"/>
        <w:gridCol w:w="2197"/>
      </w:tblGrid>
      <w:tr>
        <w:trPr>
          <w:cantSplit/>
          <w:tblHeader/>
        </w:trPr>
        <w:tc>
          <w:tcPr>
            <w:tcW w:type="dxa" w:w="2197"/>
            <w:tcW w:type="pct" w:w="8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p</w:t>
            </w:r>
          </w:p>
        </w:tc>
        <w:tc>
          <w:tcPr>
            <w:tcW w:type="dxa" w:w="2197"/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n = 1</w:t>
            </w:r>
          </w:p>
        </w:tc>
        <w:tc>
          <w:tcPr>
            <w:tcW w:type="dxa" w:w="2197"/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n = 2</w:t>
            </w:r>
          </w:p>
        </w:tc>
        <w:tc>
          <w:tcPr>
            <w:tcW w:type="dxa" w:w="2197"/>
            <w:tcW w:type="pct" w:w="18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n = 3</w:t>
            </w:r>
          </w:p>
        </w:tc>
      </w:tr>
      <w:tr>
        <w:tc>
          <w:tcPr>
            <w:tcW w:type="dxa" w:w="2197"/>
            <w:tcW w:type="pct" w:w="8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0</w:t>
            </w:r>
          </w:p>
        </w:tc>
        <w:tc>
          <w:tcPr>
            <w:tcW w:type="dxa" w:w="2197"/>
            <w:tcW w:type="pct" w:w="13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λ</w:t>
            </w:r>
          </w:p>
        </w:tc>
        <w:tc>
          <w:tcPr>
            <w:tcW w:type="dxa" w:w="2197"/>
            <w:tcW w:type="pct" w:w="15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λ² + λ</w:t>
            </w:r>
          </w:p>
        </w:tc>
        <w:tc>
          <w:tcPr>
            <w:tcW w:type="dxa" w:w="2197"/>
            <w:tcW w:type="pct" w:w="18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λ³ + 3λ² + 2λ</w:t>
            </w:r>
          </w:p>
        </w:tc>
      </w:tr>
      <w:tr>
        <w:tc>
          <w:tcPr>
            <w:tcW w:type="dxa" w:w="2197"/>
            <w:tcW w:type="pct" w:w="8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1</w:t>
            </w:r>
          </w:p>
        </w:tc>
        <w:tc>
          <w:tcPr>
            <w:tcW w:type="dxa" w:w="2197"/>
            <w:tcW w:type="pct" w:w="13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λ + 1</w:t>
            </w:r>
          </w:p>
        </w:tc>
        <w:tc>
          <w:tcPr>
            <w:tcW w:type="dxa" w:w="2197"/>
            <w:tcW w:type="pct" w:w="15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λ² + 3λ + 2</w:t>
            </w:r>
          </w:p>
        </w:tc>
        <w:tc>
          <w:tcPr>
            <w:tcW w:type="dxa" w:w="2197"/>
            <w:tcW w:type="pct" w:w="18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λ³ + 6λ² + 11λ + 6</w:t>
            </w:r>
          </w:p>
        </w:tc>
      </w:tr>
      <w:tr>
        <w:tc>
          <w:tcPr>
            <w:tcW w:type="dxa" w:w="2197"/>
            <w:tcW w:type="pct" w:w="8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2</w:t>
            </w:r>
          </w:p>
        </w:tc>
        <w:tc>
          <w:tcPr>
            <w:tcW w:type="dxa" w:w="2197"/>
            <w:tcW w:type="pct" w:w="13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λ + 2</w:t>
            </w:r>
          </w:p>
        </w:tc>
        <w:tc>
          <w:tcPr>
            <w:tcW w:type="dxa" w:w="2197"/>
            <w:tcW w:type="pct" w:w="15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λ² + 5λ + 6</w:t>
            </w:r>
          </w:p>
        </w:tc>
        <w:tc>
          <w:tcPr>
            <w:tcW w:type="dxa" w:w="2197"/>
            <w:tcW w:type="pct" w:w="18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λ³ + 9λ² + 26λ + 24</w:t>
            </w:r>
          </w:p>
        </w:tc>
      </w:tr>
      <w:tr>
        <w:tc>
          <w:tcPr>
            <w:tcW w:type="dxa" w:w="2197"/>
            <w:tcW w:type="pct" w:w="8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4</w:t>
            </w:r>
          </w:p>
        </w:tc>
        <w:tc>
          <w:tcPr>
            <w:tcW w:type="dxa" w:w="2197"/>
            <w:tcW w:type="pct" w:w="13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λ + 4</w:t>
            </w:r>
          </w:p>
        </w:tc>
        <w:tc>
          <w:tcPr>
            <w:tcW w:type="dxa" w:w="2197"/>
            <w:tcW w:type="pct" w:w="15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λ² + 9λ + 20</w:t>
            </w:r>
          </w:p>
        </w:tc>
        <w:tc>
          <w:tcPr>
            <w:tcW w:type="dxa" w:w="2197"/>
            <w:tcW w:type="pct" w:w="18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λ³ + 15λ² + 74λ + 120</w:t>
            </w:r>
          </w:p>
        </w:tc>
      </w:tr>
    </w:tbl>
    <w:p>
      <w:pPr>
        <w:spacing w:after="120" w:line="360" w:lineRule="auto"/>
      </w:pPr>
    </w:p>
    <w:p>
      <w:pPr>
        <w:keepNext/>
        <w:spacing w:before="360" w:after="240" w:line="360" w:lineRule="auto"/>
        <w:jc w:val="left"/>
      </w:pPr>
      <w:r>
        <w:rPr>
          <w:rFonts w:ascii="Times New Roman" w:hAnsi="Times New Roman" w:eastAsia="SimHei"/>
          <w:b/>
          <w:i w:val="0"/>
          <w:sz w:val="30"/>
        </w:rPr>
        <w:t>4.2. The pencil and its invariance</w:t>
      </w:r>
      <w:bookmarkStart w:id="105" w:name="_Toc100006"/>
      <w:bookmarkEnd w:id="105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The prolongation of the system {F = 0} by the τ-derivative adds the equation dF/dτ = 0; the corresponding cubic pencil is built as M3 = [M2; λM2]. The machine verifies the structural identity (4.2) exactly (structural_identity_small_exact = true) and at three rational control points λ = 1/2, 1, 2 (det_sanity_exact_rational_l: all true). The consequence — the factorization char3 = (1 + λ²)⁹·char2 — means that the only new roots of the cubic pencil are λ = ±i, each ninefold. The numerical filter on 40 digits: σ_min/‖M‖ = 2.285×10⁻⁵ for λ = ±i (PHANTOM) versus 0.0 for λ = 0 (GENUINE).</w:t>
      </w:r>
    </w:p>
    <w:p>
      <w:pPr>
        <w:keepNext/>
        <w:spacing w:before="200" w:after="60" w:line="360" w:lineRule="auto"/>
        <w:jc w:val="center"/>
      </w:pPr>
      <w:r>
        <w:rPr>
          <w:rFonts w:ascii="Times New Roman" w:hAnsi="Times New Roman" w:eastAsia="SimSun"/>
          <w:b w:val="0"/>
          <w:i w:val="0"/>
          <w:sz w:val="21"/>
        </w:rPr>
        <w:t>Table 4.3. Layers of the verdict third_order_tables.json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type="dxa" w:w="2929"/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Layer</w:t>
            </w:r>
          </w:p>
        </w:tc>
        <w:tc>
          <w:tcPr>
            <w:tcW w:type="dxa" w:w="2929"/>
            <w:tcW w:type="pct" w:w="29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Statement</w:t>
            </w:r>
          </w:p>
        </w:tc>
        <w:tc>
          <w:tcPr>
            <w:tcW w:type="dxa" w:w="2929"/>
            <w:tcW w:type="pct" w:w="16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Status</w:t>
            </w:r>
          </w:p>
        </w:tc>
      </w:tr>
      <w:tr>
        <w:tc>
          <w:tcPr>
            <w:tcW w:type="dxa" w:w="2929"/>
            <w:tcW w:type="pct" w:w="15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T1_weight_rule</w:t>
            </w:r>
          </w:p>
        </w:tc>
        <w:tc>
          <w:tcPr>
            <w:tcW w:type="dxa" w:w="2929"/>
            <w:tcW w:type="pct" w:w="29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rule (4.1) exact for 12/12 pairs (p, n); leading coeff = 1 derived</w:t>
            </w:r>
          </w:p>
        </w:tc>
        <w:tc>
          <w:tcPr>
            <w:tcW w:type="dxa" w:w="2929"/>
            <w:tcW w:type="pct" w:w="1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all_exact = true</w:t>
            </w:r>
          </w:p>
        </w:tc>
      </w:tr>
      <w:tr>
        <w:tc>
          <w:tcPr>
            <w:tcW w:type="dxa" w:w="2929"/>
            <w:tcW w:type="pct" w:w="15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T2_tables</w:t>
            </w:r>
          </w:p>
        </w:tc>
        <w:tc>
          <w:tcPr>
            <w:tcW w:type="dxa" w:w="2929"/>
            <w:tcW w:type="pct" w:w="29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third tables = exact y-derivatives of the second; mode factorizations hold</w:t>
            </w:r>
          </w:p>
        </w:tc>
        <w:tc>
          <w:tcPr>
            <w:tcW w:type="dxa" w:w="2929"/>
            <w:tcW w:type="pct" w:w="1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all_exact = true</w:t>
            </w:r>
          </w:p>
        </w:tc>
      </w:tr>
      <w:tr>
        <w:tc>
          <w:tcPr>
            <w:tcW w:type="dxa" w:w="2929"/>
            <w:tcW w:type="pct" w:w="15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T3_regression</w:t>
            </w:r>
          </w:p>
        </w:tc>
        <w:tc>
          <w:tcPr>
            <w:tcW w:type="dxa" w:w="2929"/>
            <w:tcW w:type="pct" w:w="29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leading coefficient = 1 in all generations; dd = 0 ⇒ exact adiabatics</w:t>
            </w:r>
          </w:p>
        </w:tc>
        <w:tc>
          <w:tcPr>
            <w:tcW w:type="dxa" w:w="2929"/>
            <w:tcW w:type="pct" w:w="1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all_ok = true</w:t>
            </w:r>
          </w:p>
        </w:tc>
      </w:tr>
      <w:tr>
        <w:tc>
          <w:tcPr>
            <w:tcW w:type="dxa" w:w="2929"/>
            <w:tcW w:type="pct" w:w="15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T4_cubic_pencil</w:t>
            </w:r>
          </w:p>
        </w:tc>
        <w:tc>
          <w:tcPr>
            <w:tcW w:type="dxa" w:w="2929"/>
            <w:tcW w:type="pct" w:w="29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M3ᵀM3 = (1+λ²)M2ᵀM2; char3 = (1+λ²)⁹char2; ±i are phantoms</w:t>
            </w:r>
          </w:p>
        </w:tc>
        <w:tc>
          <w:tcPr>
            <w:tcW w:type="dxa" w:w="2929"/>
            <w:tcW w:type="pct" w:w="1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exact + 40 digits</w:t>
            </w:r>
          </w:p>
        </w:tc>
      </w:tr>
    </w:tbl>
    <w:p>
      <w:pPr>
        <w:spacing w:after="120" w:line="360" w:lineRule="auto"/>
      </w:pP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5. Numerical Results</w:t>
      </w:r>
      <w:bookmarkStart w:id="106" w:name="_Toc100007"/>
      <w:bookmarkEnd w:id="106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The regression layer T3 links the generations of tables: the leading coefficient of the slot equals 1 in the third order (third_W2_dddd = 1), in the second (second_W2_dd = 1, second_P4_dd = 1) and in the ddQ precedent of machine v13 (machine_ddQ = 1); when the second derivatives are zeroed, the second-order tables pass into the adiabatic ones exactly (second_to_adiabatic = 0). The de-adiabatic pattern of v13 (the structures 5,6 = (λ + 2)(λ + 3) and 9,20 = (λ + 4)(λ + 5)) thus turns out to be special cases of the general rule (4.1).</w:t>
      </w:r>
    </w:p>
    <w:p>
      <w:pPr>
        <w:keepNext/>
        <w:spacing w:before="200" w:after="60" w:line="360" w:lineRule="auto"/>
        <w:jc w:val="center"/>
      </w:pPr>
      <w:r>
        <w:rPr>
          <w:rFonts w:ascii="Times New Roman" w:hAnsi="Times New Roman" w:eastAsia="SimSun"/>
          <w:b w:val="0"/>
          <w:i w:val="0"/>
          <w:sz w:val="21"/>
        </w:rPr>
        <w:t>Table 4.4. The phantom filter (40 digits, layer T4)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type="dxa" w:w="2929"/>
            <w:tcW w:type="pct" w:w="12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λ</w:t>
            </w:r>
          </w:p>
        </w:tc>
        <w:tc>
          <w:tcPr>
            <w:tcW w:type="dxa" w:w="2929"/>
            <w:tcW w:type="pct" w:w="25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σ_min / ‖M‖ (rel, 40d)</w:t>
            </w:r>
          </w:p>
        </w:tc>
        <w:tc>
          <w:tcPr>
            <w:tcW w:type="dxa" w:w="2929"/>
            <w:tcW w:type="pct" w:w="23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Verdict</w:t>
            </w:r>
          </w:p>
        </w:tc>
      </w:tr>
      <w:tr>
        <w:tc>
          <w:tcPr>
            <w:tcW w:type="dxa" w:w="2929"/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+i</w:t>
            </w:r>
          </w:p>
        </w:tc>
        <w:tc>
          <w:tcPr>
            <w:tcW w:type="dxa" w:w="2929"/>
            <w:tcW w:type="pct" w:w="25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2.285×10⁻⁵</w:t>
            </w:r>
          </w:p>
        </w:tc>
        <w:tc>
          <w:tcPr>
            <w:tcW w:type="dxa" w:w="2929"/>
            <w:tcW w:type="pct" w:w="23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PHANTOM</w:t>
            </w:r>
          </w:p>
        </w:tc>
      </w:tr>
      <w:tr>
        <w:tc>
          <w:tcPr>
            <w:tcW w:type="dxa" w:w="2929"/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−i</w:t>
            </w:r>
          </w:p>
        </w:tc>
        <w:tc>
          <w:tcPr>
            <w:tcW w:type="dxa" w:w="2929"/>
            <w:tcW w:type="pct" w:w="25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2.285×10⁻⁵</w:t>
            </w:r>
          </w:p>
        </w:tc>
        <w:tc>
          <w:tcPr>
            <w:tcW w:type="dxa" w:w="2929"/>
            <w:tcW w:type="pct" w:w="23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PHANTOM</w:t>
            </w:r>
          </w:p>
        </w:tc>
      </w:tr>
      <w:tr>
        <w:tc>
          <w:tcPr>
            <w:tcW w:type="dxa" w:w="2929"/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0</w:t>
            </w:r>
          </w:p>
        </w:tc>
        <w:tc>
          <w:tcPr>
            <w:tcW w:type="dxa" w:w="2929"/>
            <w:tcW w:type="pct" w:w="25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0.0</w:t>
            </w:r>
          </w:p>
        </w:tc>
        <w:tc>
          <w:tcPr>
            <w:tcW w:type="dxa" w:w="2929"/>
            <w:tcW w:type="pct" w:w="23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GENUINE</w:t>
            </w:r>
          </w:p>
        </w:tc>
      </w:tr>
    </w:tbl>
    <w:p>
      <w:pPr>
        <w:spacing w:after="120" w:line="360" w:lineRule="auto"/>
      </w:pP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Jointly, Tables 4.2–4.4 close the question: the third order adds no genuine linear dynamics. The spectral structure {0-multiplicity 4, phantom pairs} is unchanged; the phantom gap to the π/30 ladder (~2.9%) remains outside linear statics and requires finite-amplitude mechanisms (campaigns v13–v15, monographs No. 5–No. 6).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6. Corollaries</w:t>
      </w:r>
      <w:bookmarkStart w:id="107" w:name="_Toc100008"/>
      <w:bookmarkEnd w:id="107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Corollary 4.1 (a derived, not chosen law). The coefficient 1 at the dd-slots — the key assumption of the de-adiabatization of v13 — is now a consequence of the factorization (4.1). The independent dd-law receives an algebraic justification, which prepares the dd-closure theorem (monograph No. 5): the y-prolongation coincides with the τ-prolongation precisely because the table derivatives factorize by the weight rule.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Corollary 4.2 (the stability of δ_mono = 0). Since char3 = (1 + λ²)⁹char2 and ±i are phantoms, the v13–v14 conclusion of a zero linear monodromy shift is stable against the third order: a stronger prolongation produces no new genuine modes, and the residual ~2.9% to π/30 cannot be produced by a linear sector of any order from the considered class.</w:t>
      </w: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Corollary 4.3 (prolongation invariance as a protocol). Identity (4.2) provides a cheap control protocol for any future enhancement: if a prolonged pencil is built correctly, its singular drops must coincide with the drops of the original. A violation of this identity in any future machine is a signal of a construction error, not of physics.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7. Honest Caveats</w:t>
      </w:r>
      <w:bookmarkStart w:id="108" w:name="_Toc100009"/>
      <w:bookmarkEnd w:id="108"/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The rule is proved on the set {0, 1, 2, 4} × {1, 2, 3}; the extrapolation to arbitrary (p, n) is plausible (the product structure is visible) but formally remains a hypothesis until a separate check. The pencil M3 is built for the linear prolongation {F = 0, dF/dτ = 0}; the nonlinear prolongation with x-dependent Jacobians (campaign v15) goes beyond the present theorem and is studied in monograph No. 6. The phantom verdict rests on a 40-digit threshold filter: like every numerical filter it is calibrated and may err on structures with exceptionally small σ_min; for ±i the margin (10⁻⁵ against the machine zero of λ = 0) is comfortable. Finally, the factor (1 + λ²)⁹ reflects the dimension of the concrete system; under a tower enhancement the exponent changes and the identity must be rechecked — the protocol of Corollary 4.3 exists exactly for that.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8. Reproducibility</w:t>
      </w:r>
      <w:bookmarkStart w:id="109" w:name="_Toc100010"/>
      <w:bookmarkEnd w:id="109"/>
    </w:p>
    <w:p>
      <w:pPr>
        <w:keepNext/>
        <w:spacing w:before="200" w:after="60" w:line="360" w:lineRule="auto"/>
        <w:jc w:val="center"/>
      </w:pPr>
      <w:r>
        <w:rPr>
          <w:rFonts w:ascii="Times New Roman" w:hAnsi="Times New Roman" w:eastAsia="SimSun"/>
          <w:b w:val="0"/>
          <w:i w:val="0"/>
          <w:sz w:val="21"/>
        </w:rPr>
        <w:t>Table 4.5. Reproduction protocol for Theorem 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type="dxa" w:w="2929"/>
            <w:tcW w:type="pct" w:w="7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Step</w:t>
            </w:r>
          </w:p>
        </w:tc>
        <w:tc>
          <w:tcPr>
            <w:tcW w:type="dxa" w:w="2929"/>
            <w:tcW w:type="pct" w:w="36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Command</w:t>
            </w:r>
          </w:p>
        </w:tc>
        <w:tc>
          <w:tcPr>
            <w:tcW w:type="dxa" w:w="2929"/>
            <w:tcW w:type="pct" w:w="2700"/>
            <w:tcMar>
              <w:top w:type="dxa" w:w="60"/>
              <w:left w:type="dxa" w:w="100"/>
              <w:bottom w:type="dxa" w:w="6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single" w:color="000000" w:sz="2"/>
            </w:tcBorders>
          </w:tcPr>
          <w:p>
            <w:pPr>
              <w:spacing w:line="360" w:lineRule="auto" w:before="0" w:after="0"/>
              <w:jc w:val="center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Result</w:t>
            </w:r>
          </w:p>
        </w:tc>
      </w:tr>
      <w:tr>
        <w:tc>
          <w:tcPr>
            <w:tcW w:type="dxa" w:w="2929"/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1</w:t>
            </w:r>
          </w:p>
        </w:tc>
        <w:tc>
          <w:tcPr>
            <w:tcW w:type="dxa" w:w="2929"/>
            <w:tcW w:type="pct" w:w="3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python3 sympy_third_order.py</w:t>
            </w:r>
          </w:p>
        </w:tc>
        <w:tc>
          <w:tcPr>
            <w:tcW w:type="dxa" w:w="2929"/>
            <w:tcW w:type="pct" w:w="2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results/third_order_tables.json (layers T1–T4)</w:t>
            </w:r>
          </w:p>
        </w:tc>
      </w:tr>
      <w:tr>
        <w:tc>
          <w:tcPr>
            <w:tcW w:type="dxa" w:w="2929"/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2</w:t>
            </w:r>
          </w:p>
        </w:tc>
        <w:tc>
          <w:tcPr>
            <w:tcW w:type="dxa" w:w="2929"/>
            <w:tcW w:type="pct" w:w="3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python3 sympy_dd_closure.py</w:t>
            </w:r>
          </w:p>
        </w:tc>
        <w:tc>
          <w:tcPr>
            <w:tcW w:type="dxa" w:w="2929"/>
            <w:tcW w:type="pct" w:w="2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results/dd_closure.json (justification of the dd-law)</w:t>
            </w:r>
          </w:p>
        </w:tc>
      </w:tr>
      <w:tr>
        <w:tc>
          <w:tcPr>
            <w:tcW w:type="dxa" w:w="2929"/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3</w:t>
            </w:r>
          </w:p>
        </w:tc>
        <w:tc>
          <w:tcPr>
            <w:tcW w:type="dxa" w:w="2929"/>
            <w:tcW w:type="pct" w:w="36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python3 -m pytest tests/ -q</w:t>
            </w:r>
          </w:p>
        </w:tc>
        <w:tc>
          <w:tcPr>
            <w:tcW w:type="dxa" w:w="2929"/>
            <w:tcW w:type="pct" w:w="2700"/>
            <w:tcMar>
              <w:top w:type="dxa" w:w="50"/>
              <w:left w:type="dxa" w:w="100"/>
              <w:bottom w:type="dxa" w:w="50"/>
              <w:right w:type="dxa" w:w="100"/>
            </w:tcMar>
            <w:tcBorders>
              <w:top w:val="none" w:color="FFFFFF" w:sz="0"/>
              <w:left w:val="none" w:color="FFFFFF" w:sz="0"/>
              <w:right w:val="none" w:color="FFFFFF" w:sz="0"/>
              <w:bottom w:val="none" w:color="FFFFFF" w:sz="0"/>
            </w:tcBorders>
          </w:tcPr>
          <w:p>
            <w:pPr>
              <w:spacing w:line="360" w:lineRule="auto" w:before="0" w:after="0"/>
              <w:jc w:val="left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58 passed (the weight-rule tests included)</w:t>
            </w:r>
          </w:p>
        </w:tc>
      </w:tr>
    </w:tbl>
    <w:p>
      <w:pPr>
        <w:spacing w:after="120" w:line="360" w:lineRule="auto"/>
      </w:pPr>
    </w:p>
    <w:p>
      <w:pPr>
        <w:spacing w:after="12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The machine running time is 11.4 s (runtime_s of the verdict) on an ordinary laptop; the machines are single-threaded and deterministic. The data correspond to commit 5b256cd; an autonomous copy of the machine lives in einstein_direct/open9/machines/ with a private copy of the results.</w:t>
      </w:r>
    </w:p>
    <w:p>
      <w:pPr>
        <w:keepNext/>
        <w:spacing w:before="480" w:after="360" w:line="360" w:lineRule="auto"/>
        <w:jc w:val="center"/>
      </w:pPr>
      <w:r>
        <w:rPr>
          <w:rFonts w:ascii="Times New Roman" w:hAnsi="Times New Roman" w:eastAsia="SimHei"/>
          <w:b/>
          <w:i w:val="0"/>
          <w:sz w:val="32"/>
        </w:rPr>
        <w:t>References</w:t>
      </w:r>
      <w:bookmarkStart w:id="110" w:name="_Toc100011"/>
      <w:bookmarkEnd w:id="110"/>
    </w:p>
    <w:p>
      <w:pPr>
        <w:spacing w:after="8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[1] Repository wild8highlander/choptuik_ac_bc: einstein_direct/sympy_third_order.py; einstein_direct/results/third_order_tables.json (campaign v14, LEDGER §25).</w:t>
      </w:r>
    </w:p>
    <w:p>
      <w:pPr>
        <w:spacing w:after="8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[2] Ibid.: einstein_direct/sympy_dd_closure.py; einstein_direct/results/dd_closure.json (session 18b).</w:t>
      </w:r>
    </w:p>
    <w:p>
      <w:pPr>
        <w:spacing w:after="8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[3] Ibid.: einstein_direct/sympy_second_flows.py; einstein_direct/results/second_flows_exact.json (campaign v13).</w:t>
      </w:r>
    </w:p>
    <w:p>
      <w:pPr>
        <w:spacing w:after="8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[4] Ibid.: einstein_direct/README.md §§1.1, 3.6; einstein_direct/README_EN.md §25.</w:t>
      </w:r>
    </w:p>
    <w:p>
      <w:pPr>
        <w:spacing w:after="80" w:line="360" w:lineRule="auto"/>
        <w:jc w:val="both"/>
      </w:pPr>
      <w:r>
        <w:rPr>
          <w:rFonts w:ascii="Times New Roman" w:hAnsi="Times New Roman" w:eastAsia="SimSun"/>
          <w:b w:val="0"/>
          <w:i w:val="0"/>
          <w:sz w:val="24"/>
        </w:rPr>
        <w:t>[5] Monographs No. 1, No. 5, No. 6 of the theorems12 cycle.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1440" w:right="1417" w:bottom="1440" w:left="1701" w:header="850" w:footer="992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SimSun"/>
        <w:b w:val="0"/>
        <w:i w:val="0"/>
        <w:sz w:val="21"/>
      </w:rPr>
      <w:t xml:space="preserve">- </w:t>
    </w:r>
    <w:r>
      <w:rPr>
        <w:rFonts w:ascii="Times New Roman" w:hAnsi="Times New Roman" w:eastAsia="SimSun"/>
        <w:b w:val="0"/>
        <w:i w:val="0"/>
        <w:sz w:val="21"/>
      </w:rPr>
      <w:fldChar w:fldCharType="begin"/>
    </w:r>
    <w:r>
      <w:rPr>
        <w:rFonts w:ascii="Times New Roman" w:hAnsi="Times New Roman" w:eastAsia="SimSun"/>
        <w:b w:val="0"/>
        <w:i w:val="0"/>
        <w:sz w:val="21"/>
      </w:rPr>
      <w:instrText xml:space="preserve"> PAGE \* ROMAN \* MERGEFORMAT </w:instrText>
    </w:r>
    <w:r>
      <w:rPr>
        <w:rFonts w:ascii="Times New Roman" w:hAnsi="Times New Roman" w:eastAsia="SimSun"/>
        <w:b w:val="0"/>
        <w:i w:val="0"/>
        <w:sz w:val="21"/>
      </w:rPr>
      <w:fldChar w:fldCharType="separate"/>
    </w:r>
    <w:r>
      <w:rPr>
        <w:rFonts w:ascii="Times New Roman" w:hAnsi="Times New Roman" w:eastAsia="SimSun"/>
        <w:b w:val="0"/>
        <w:i w:val="0"/>
        <w:sz w:val="21"/>
      </w:rPr>
      <w:t>1</w:t>
    </w:r>
    <w:r>
      <w:rPr>
        <w:rFonts w:ascii="Times New Roman" w:hAnsi="Times New Roman" w:eastAsia="SimSun"/>
        <w:b w:val="0"/>
        <w:i w:val="0"/>
        <w:sz w:val="21"/>
      </w:rPr>
      <w:fldChar w:fldCharType="end"/>
    </w:r>
    <w:r>
      <w:rPr>
        <w:rFonts w:ascii="Times New Roman" w:hAnsi="Times New Roman" w:eastAsia="SimSun"/>
        <w:b w:val="0"/>
        <w:i w:val="0"/>
        <w:sz w:val="21"/>
      </w:rPr>
      <w:t xml:space="preserve"> -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SimSun"/>
        <w:b w:val="0"/>
        <w:i w:val="0"/>
        <w:sz w:val="21"/>
      </w:rPr>
      <w:t xml:space="preserve">- </w:t>
    </w:r>
    <w:r>
      <w:rPr>
        <w:rFonts w:ascii="Times New Roman" w:hAnsi="Times New Roman" w:eastAsia="SimSun"/>
        <w:b w:val="0"/>
        <w:i w:val="0"/>
        <w:sz w:val="21"/>
      </w:rPr>
      <w:fldChar w:fldCharType="begin"/>
    </w:r>
    <w:r>
      <w:rPr>
        <w:rFonts w:ascii="Times New Roman" w:hAnsi="Times New Roman" w:eastAsia="SimSun"/>
        <w:b w:val="0"/>
        <w:i w:val="0"/>
        <w:sz w:val="21"/>
      </w:rPr>
      <w:instrText xml:space="preserve"> PAGE \* arabic \* MERGEFORMAT </w:instrText>
    </w:r>
    <w:r>
      <w:rPr>
        <w:rFonts w:ascii="Times New Roman" w:hAnsi="Times New Roman" w:eastAsia="SimSun"/>
        <w:b w:val="0"/>
        <w:i w:val="0"/>
        <w:sz w:val="21"/>
      </w:rPr>
      <w:fldChar w:fldCharType="separate"/>
    </w:r>
    <w:r>
      <w:rPr>
        <w:rFonts w:ascii="Times New Roman" w:hAnsi="Times New Roman" w:eastAsia="SimSun"/>
        <w:b w:val="0"/>
        <w:i w:val="0"/>
        <w:sz w:val="21"/>
      </w:rPr>
      <w:t>1</w:t>
    </w:r>
    <w:r>
      <w:rPr>
        <w:rFonts w:ascii="Times New Roman" w:hAnsi="Times New Roman" w:eastAsia="SimSun"/>
        <w:b w:val="0"/>
        <w:i w:val="0"/>
        <w:sz w:val="21"/>
      </w:rPr>
      <w:fldChar w:fldCharType="end"/>
    </w:r>
    <w:r>
      <w:rPr>
        <w:rFonts w:ascii="Times New Roman" w:hAnsi="Times New Roman" w:eastAsia="SimSun"/>
        <w:b w:val="0"/>
        <w:i w:val="0"/>
        <w:sz w:val="21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center"/>
      <w:pBdr>
        <w:bottom w:val="single" w:color="000000" w:sz="1" w:space="1"/>
      </w:pBdr>
    </w:pPr>
    <w:r/>
    <w:r>
      <w:rPr>
        <w:rFonts w:ascii="Times New Roman" w:hAnsi="Times New Roman" w:eastAsia="SimSun"/>
        <w:b w:val="0"/>
        <w:i w:val="0"/>
        <w:color w:val="333333"/>
        <w:sz w:val="18"/>
      </w:rPr>
      <w:t>theorems12 · Monograph 04 · The Weight-Rule Theorem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center"/>
      <w:pBdr>
        <w:bottom w:val="single" w:color="000000" w:sz="1" w:space="1"/>
      </w:pBdr>
    </w:pPr>
    <w:r/>
    <w:r>
      <w:rPr>
        <w:rFonts w:ascii="Times New Roman" w:hAnsi="Times New Roman" w:eastAsia="SimSun"/>
        <w:b w:val="0"/>
        <w:i w:val="0"/>
        <w:color w:val="333333"/>
        <w:sz w:val="18"/>
      </w:rPr>
      <w:t>theorems12 · Monograph 04 · The Weight-Rule Theorem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