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5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1906"/>
      </w:tblGrid>
      <w:tr>
        <w:trPr>
          <w:trHeight w:val="16838" w:hRule="exact"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left w:type="dxa" w:w="1701"/>
              <w:right w:type="dxa" w:w="1701"/>
            </w:tcMar>
            <w:vAlign w:val="top"/>
          </w:tcPr>
          <w:p>
            <w:pPr>
              <w:spacing w:before="3324"/>
            </w:pPr>
          </w:p>
          <w:p>
            <w:pPr>
              <w:spacing w:after="400" w:line="368" w:lineRule="atLeast"/>
              <w:jc w:val="center"/>
            </w:pPr>
            <w:r>
              <w:rPr>
                <w:rFonts w:ascii="Times New Roman" w:eastAsia="SimSun" w:hAnsi="Times New Roman"/>
                <w:color w:val="333333"/>
                <w:spacing w:val="40"/>
                <w:sz w:val="32"/>
                <w:szCs w:val="32"/>
              </w:rPr>
              <w:t xml:space="preserve">choptuik_ac_bc · theorems12 · github.com/wild8highlander/choptuik_ac_bc</w:t>
            </w:r>
          </w:p>
          <w:p>
            <w:pPr>
              <w:spacing w:after="120" w:line="552" w:lineRule="atLeast"/>
              <w:jc w:val="center"/>
            </w:pPr>
            <w:r>
              <w:rPr>
                <w:rFonts w:ascii="Times New Roman" w:eastAsia="SimHei" w:hAnsi="Times New Roman"/>
                <w:b/>
                <w:bCs/>
                <w:color w:val="000000"/>
                <w:sz w:val="48"/>
                <w:szCs w:val="48"/>
              </w:rPr>
              <w:t xml:space="preserve">The Holonomy Theorem:</w:t>
            </w:r>
          </w:p>
          <w:p>
            <w:pPr>
              <w:spacing w:after="120" w:line="552" w:lineRule="atLeast"/>
              <w:jc w:val="center"/>
            </w:pPr>
            <w:r>
              <w:rPr>
                <w:rFonts w:ascii="Times New Roman" w:eastAsia="SimHei" w:hAnsi="Times New Roman"/>
                <w:b/>
                <w:bCs/>
                <w:color w:val="000000"/>
                <w:sz w:val="48"/>
                <w:szCs w:val="48"/>
              </w:rPr>
              <w:t xml:space="preserve">Admissibility and the Exact</w:t>
            </w:r>
          </w:p>
          <w:p>
            <w:pPr>
              <w:spacing w:after="300" w:line="552" w:lineRule="atLeast"/>
              <w:jc w:val="center"/>
            </w:pPr>
            <w:r>
              <w:rPr>
                <w:rFonts w:ascii="Times New Roman" w:eastAsia="SimHei" w:hAnsi="Times New Roman"/>
                <w:b/>
                <w:bCs/>
                <w:color w:val="000000"/>
                <w:sz w:val="48"/>
                <w:szCs w:val="48"/>
              </w:rPr>
              <w:t xml:space="preserve">Corrected Family τ*(κ) = 27/(2κ)</w:t>
            </w:r>
          </w:p>
          <w:p>
            <w:pPr>
              <w:spacing w:after="200" w:line="299" w:lineRule="atLeast"/>
              <w:jc w:val="center"/>
            </w:pPr>
            <w:r>
              <w:rPr>
                <w:rFonts w:ascii="Times New Roman" w:eastAsia="SimSun" w:hAnsi="Times New Roman"/>
                <w:color w:val="404040"/>
                <w:sz w:val="26"/>
                <w:szCs w:val="26"/>
              </w:rPr>
              <w:t xml:space="preserve">Diagonal or dead · holonomy-invariant station ladder · Berry closure +0.062%</w:t>
            </w:r>
          </w:p>
          <w:p>
            <w:pPr>
              <w:spacing w:before="1150"/>
            </w:pPr>
          </w:p>
          <w:tbl>
            <w:tblPr>
              <w:tblW w:type="pct" w:w="3000"/>
              <w:jc w:val="center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2143"/>
              <w:gridCol w:w="5001"/>
            </w:tblGrid>
            <w:tr>
              <w:trPr>
                <w:cantSplit/>
              </w:trPr>
              <w:tc>
                <w:tcPr>
                  <w:tcW w:type="pct" w:w="15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0"/>
                    <w:bottom w:type="dxa" w:w="60"/>
                    <w:right w:type="dxa" w:w="0"/>
                  </w:tcMar>
                </w:tcPr>
                <w:p>
                  <w:pPr>
                    <w:spacing w:after="60" w:before="60" w:line="400"/>
                    <w:jc w:val="left"/>
                  </w:pPr>
                  <w:r>
                    <w:rPr>
                      <w:rFonts w:ascii="Times New Roman" w:eastAsia="SimSun" w:hAnsi="Times New Roman"/>
                      <w:sz w:val="24"/>
                      <w:szCs w:val="24"/>
                    </w:rPr>
                    <w:t xml:space="preserve">Author:</w:t>
                  </w:r>
                </w:p>
              </w:tc>
              <w:tc>
                <w:tcPr>
                  <w:tcW w:type="pct" w:w="3500"/>
                  <w:tcBorders>
                    <w:top w:val="none" w:color="FFFFFF" w:sz="0"/>
                    <w:left w:val="none" w:color="FFFFFF" w:sz="0"/>
                    <w:bottom w:val="single" w:color="000000" w:sz="4"/>
                    <w:right w:val="none" w:color="FFFFFF" w:sz="0"/>
                  </w:tcBorders>
                  <w:tcMar>
                    <w:top w:type="dxa" w:w="60"/>
                    <w:left w:type="dxa" w:w="80"/>
                    <w:bottom w:type="dxa" w:w="60"/>
                    <w:right w:type="dxa" w:w="0"/>
                  </w:tcMar>
                </w:tcPr>
                <w:p>
                  <w:pPr>
                    <w:spacing w:after="60" w:before="60" w:line="400"/>
                    <w:jc w:val="left"/>
                  </w:pPr>
                  <w:r>
                    <w:rPr>
                      <w:rFonts w:ascii="Times New Roman" w:eastAsia="SimSun" w:hAnsi="Times New Roman"/>
                      <w:sz w:val="24"/>
                      <w:szCs w:val="24"/>
                    </w:rPr>
                    <w:t xml:space="preserve">Ishak Khamzatovich Isaev</w:t>
                  </w:r>
                </w:p>
              </w:tc>
            </w:tr>
            <w:tr>
              <w:trPr>
                <w:cantSplit/>
              </w:trPr>
              <w:tc>
                <w:tcPr>
                  <w:tcW w:type="pct" w:w="15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0"/>
                    <w:bottom w:type="dxa" w:w="60"/>
                    <w:right w:type="dxa" w:w="0"/>
                  </w:tcMar>
                </w:tcPr>
                <w:p>
                  <w:pPr>
                    <w:spacing w:after="60" w:before="60" w:line="400"/>
                    <w:jc w:val="left"/>
                  </w:pPr>
                  <w:r>
                    <w:rPr>
                      <w:rFonts w:ascii="Times New Roman" w:eastAsia="SimSun" w:hAnsi="Times New Roman"/>
                      <w:sz w:val="24"/>
                      <w:szCs w:val="24"/>
                    </w:rPr>
                    <w:t xml:space="preserve">Series:</w:t>
                  </w:r>
                </w:p>
              </w:tc>
              <w:tc>
                <w:tcPr>
                  <w:tcW w:type="pct" w:w="3500"/>
                  <w:tcBorders>
                    <w:top w:val="none" w:color="FFFFFF" w:sz="0"/>
                    <w:left w:val="none" w:color="FFFFFF" w:sz="0"/>
                    <w:bottom w:val="single" w:color="000000" w:sz="4"/>
                    <w:right w:val="none" w:color="FFFFFF" w:sz="0"/>
                  </w:tcBorders>
                  <w:tcMar>
                    <w:top w:type="dxa" w:w="60"/>
                    <w:left w:type="dxa" w:w="80"/>
                    <w:bottom w:type="dxa" w:w="60"/>
                    <w:right w:type="dxa" w:w="0"/>
                  </w:tcMar>
                </w:tcPr>
                <w:p>
                  <w:pPr>
                    <w:spacing w:after="60" w:before="60" w:line="400"/>
                    <w:jc w:val="left"/>
                  </w:pPr>
                  <w:r>
                    <w:rPr>
                      <w:rFonts w:ascii="Times New Roman" w:eastAsia="SimSun" w:hAnsi="Times New Roman"/>
                      <w:sz w:val="24"/>
                      <w:szCs w:val="24"/>
                    </w:rPr>
                    <w:t xml:space="preserve">Monograph No. 07 of the “Twelve Theorems” cycle</w:t>
                  </w:r>
                </w:p>
              </w:tc>
            </w:tr>
            <w:tr>
              <w:trPr>
                <w:cantSplit/>
              </w:trPr>
              <w:tc>
                <w:tcPr>
                  <w:tcW w:type="pct" w:w="15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0"/>
                    <w:bottom w:type="dxa" w:w="60"/>
                    <w:right w:type="dxa" w:w="0"/>
                  </w:tcMar>
                </w:tcPr>
                <w:p>
                  <w:pPr>
                    <w:spacing w:after="60" w:before="60" w:line="400"/>
                    <w:jc w:val="left"/>
                  </w:pPr>
                  <w:r>
                    <w:rPr>
                      <w:rFonts w:ascii="Times New Roman" w:eastAsia="SimSun" w:hAnsi="Times New Roman"/>
                      <w:sz w:val="24"/>
                      <w:szCs w:val="24"/>
                    </w:rPr>
                    <w:t xml:space="preserve">Machine:</w:t>
                  </w:r>
                </w:p>
              </w:tc>
              <w:tc>
                <w:tcPr>
                  <w:tcW w:type="pct" w:w="3500"/>
                  <w:tcBorders>
                    <w:top w:val="none" w:color="FFFFFF" w:sz="0"/>
                    <w:left w:val="none" w:color="FFFFFF" w:sz="0"/>
                    <w:bottom w:val="single" w:color="000000" w:sz="4"/>
                    <w:right w:val="none" w:color="FFFFFF" w:sz="0"/>
                  </w:tcBorders>
                  <w:tcMar>
                    <w:top w:type="dxa" w:w="60"/>
                    <w:left w:type="dxa" w:w="80"/>
                    <w:bottom w:type="dxa" w:w="60"/>
                    <w:right w:type="dxa" w:w="0"/>
                  </w:tcMar>
                </w:tcPr>
                <w:p>
                  <w:pPr>
                    <w:spacing w:after="60" w:before="60" w:line="400"/>
                    <w:jc w:val="left"/>
                  </w:pPr>
                  <w:r>
                    <w:rPr>
                      <w:rFonts w:ascii="Times New Roman" w:eastAsia="SimSun" w:hAnsi="Times New Roman"/>
                      <w:sz w:val="24"/>
                      <w:szCs w:val="24"/>
                    </w:rPr>
                    <w:t xml:space="preserve">sympy_spectrum_tau_star.py + sympy_spinor_corrections.py · SymPy, exact</w:t>
                  </w:r>
                </w:p>
              </w:tc>
            </w:tr>
            <w:tr>
              <w:trPr>
                <w:cantSplit/>
              </w:trPr>
              <w:tc>
                <w:tcPr>
                  <w:tcW w:type="pct" w:w="15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0"/>
                    <w:bottom w:type="dxa" w:w="60"/>
                    <w:right w:type="dxa" w:w="0"/>
                  </w:tcMar>
                </w:tcPr>
                <w:p>
                  <w:pPr>
                    <w:spacing w:after="60" w:before="60" w:line="400"/>
                    <w:jc w:val="left"/>
                  </w:pPr>
                  <w:r>
                    <w:rPr>
                      <w:rFonts w:ascii="Times New Roman" w:eastAsia="SimSun" w:hAnsi="Times New Roman"/>
                      <w:sz w:val="24"/>
                      <w:szCs w:val="24"/>
                    </w:rPr>
                    <w:t xml:space="preserve">Verdict file:</w:t>
                  </w:r>
                </w:p>
              </w:tc>
              <w:tc>
                <w:tcPr>
                  <w:tcW w:type="pct" w:w="3500"/>
                  <w:tcBorders>
                    <w:top w:val="none" w:color="FFFFFF" w:sz="0"/>
                    <w:left w:val="none" w:color="FFFFFF" w:sz="0"/>
                    <w:bottom w:val="single" w:color="000000" w:sz="4"/>
                    <w:right w:val="none" w:color="FFFFFF" w:sz="0"/>
                  </w:tcBorders>
                  <w:tcMar>
                    <w:top w:type="dxa" w:w="60"/>
                    <w:left w:type="dxa" w:w="80"/>
                    <w:bottom w:type="dxa" w:w="60"/>
                    <w:right w:type="dxa" w:w="0"/>
                  </w:tcMar>
                </w:tcPr>
                <w:p>
                  <w:pPr>
                    <w:spacing w:after="60" w:before="60" w:line="400"/>
                    <w:jc w:val="left"/>
                  </w:pPr>
                  <w:r>
                    <w:rPr>
                      <w:rFonts w:ascii="Times New Roman" w:eastAsia="SimSun" w:hAnsi="Times New Roman"/>
                      <w:sz w:val="24"/>
                      <w:szCs w:val="24"/>
                    </w:rPr>
                    <w:t xml:space="preserve">einstein_direct/results/spectrum_tau_star.json</w:t>
                  </w:r>
                </w:p>
              </w:tc>
            </w:tr>
            <w:tr>
              <w:trPr>
                <w:cantSplit/>
              </w:trPr>
              <w:tc>
                <w:tcPr>
                  <w:tcW w:type="pct" w:w="15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0"/>
                    <w:bottom w:type="dxa" w:w="60"/>
                    <w:right w:type="dxa" w:w="0"/>
                  </w:tcMar>
                </w:tcPr>
                <w:p>
                  <w:pPr>
                    <w:spacing w:after="60" w:before="60" w:line="400"/>
                    <w:jc w:val="left"/>
                  </w:pPr>
                  <w:r>
                    <w:rPr>
                      <w:rFonts w:ascii="Times New Roman" w:eastAsia="SimSun" w:hAnsi="Times New Roman"/>
                      <w:sz w:val="24"/>
                      <w:szCs w:val="24"/>
                    </w:rPr>
                    <w:t xml:space="preserve">Status:</w:t>
                  </w:r>
                </w:p>
              </w:tc>
              <w:tc>
                <w:tcPr>
                  <w:tcW w:type="pct" w:w="3500"/>
                  <w:tcBorders>
                    <w:top w:val="none" w:color="FFFFFF" w:sz="0"/>
                    <w:left w:val="none" w:color="FFFFFF" w:sz="0"/>
                    <w:bottom w:val="single" w:color="000000" w:sz="4"/>
                    <w:right w:val="none" w:color="FFFFFF" w:sz="0"/>
                  </w:tcBorders>
                  <w:tcMar>
                    <w:top w:type="dxa" w:w="60"/>
                    <w:left w:type="dxa" w:w="80"/>
                    <w:bottom w:type="dxa" w:w="60"/>
                    <w:right w:type="dxa" w:w="0"/>
                  </w:tcMar>
                </w:tcPr>
                <w:p>
                  <w:pPr>
                    <w:spacing w:after="60" w:before="60" w:line="400"/>
                    <w:jc w:val="left"/>
                  </w:pPr>
                  <w:r>
                    <w:rPr>
                      <w:rFonts w:ascii="Times New Roman" w:eastAsia="SimSun" w:hAnsi="Times New Roman"/>
                      <w:sz w:val="24"/>
                      <w:szCs w:val="24"/>
                    </w:rPr>
                    <w:t xml:space="preserve">PROVED EXACT (polynomial identities + exact family + invariant ladder)</w:t>
                  </w:r>
                </w:p>
              </w:tc>
            </w:tr>
          </w:tbl>
          <w:p>
            <w:pPr>
              <w:spacing w:before="4315"/>
            </w:pPr>
          </w:p>
          <w:p>
            <w:pPr>
              <w:jc w:val="center"/>
            </w:pPr>
            <w:r>
              <w:rPr>
                <w:rFonts w:ascii="Times New Roman" w:eastAsia="SimSun" w:hAnsi="Times New Roman"/>
                <w:color w:val="404040"/>
                <w:sz w:val="22"/>
                <w:szCs w:val="22"/>
              </w:rPr>
              <w:t xml:space="preserve">2026 · Isaev Proprietary License · folder theorems12</w:t>
            </w:r>
          </w:p>
        </w:tc>
      </w:tr>
    </w:tbl>
    <w:p>
      <w:pPr>
        <w:sectPr>
          <w:headerReference w:type="default" r:id="rId6"/>
          <w:footerReference w:type="default" r:id="rId7"/>
          <w:pgSz w:w="11906" w:h="16838" w:orient="portrait"/>
          <w:pgMar w:top="0" w:right="0" w:bottom="0" w:left="0" w:header="708" w:footer="708" w:gutter="0"/>
          <w:docGrid w:linePitch="360"/>
        </w:sectPr>
      </w:pPr>
    </w:p>
    <w:p>
      <w:pPr>
        <w:spacing w:after="360" w:before="240" w:line="360"/>
        <w:jc w:val="center"/>
      </w:pPr>
      <w:r>
        <w:rPr>
          <w:rFonts w:ascii="Times New Roman" w:eastAsia="SimHei" w:hAnsi="Times New Roman"/>
          <w:b/>
          <w:bCs/>
          <w:sz w:val="32"/>
          <w:szCs w:val="32"/>
        </w:rPr>
        <w:t xml:space="preserve">Abstract</w:t>
      </w:r>
    </w:p>
    <w:p>
      <w:pPr>
        <w:spacing w:after="120" w:before="0" w:line="360"/>
        <w:jc w:val="both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This monograph records the holonomy theorem of the corrected system: the C1-ring residues vanish if and only if the two zero-channel constants coincide (κ_C1 = κ_C2), the branch residues vanish only at κ_C2 = κ_TH, and the κ-free doors audit shows no leaks — hence a holonomy correction is admissible only as a uniform renormalization κ → κ_hol. The corrected clock family is exact, τ*(κ) = 27/(2κ), with the holonomy-invariant station ladder R3h = 3/2, W2h = 9, R5h = 183/40, M5h = −105/4, P4h = 153√3/10, P2h = √3/2, T0h = 3√3/2 and the ring normalization W2h/T0h² = 2κ/3.</w:t>
      </w:r>
    </w:p>
    <w:p>
      <w:pPr>
        <w:spacing w:after="120" w:before="0" w:line="360"/>
        <w:jc w:val="both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The book of the family is κ_book = ln(27/4) = 4ln(3/2) + ln(4/3) (deviation −2.574% against the observed anchor); the additive Berry screening κ = 2 − π²/98 closes it to +0.062% without fitting, while the monograph-sign multiplicative book moves away (−7.43%). The spectrum at τ* factors as 9λ⁴·Q12(λ) in Q(√3): the only genuine real root is λ = 0 (multiplicity four), all complex roots are phantoms, and the monodromy per echo is exactly 1. Tables, corollaries, honest caveats and a full reproduction protocol are included.</w:t>
      </w:r>
    </w:p>
    <w:p>
      <w:pPr>
        <w:spacing w:before="200" w:line="360"/>
        <w:jc w:val="both"/>
      </w:pPr>
      <w:r>
        <w:rPr>
          <w:rFonts w:ascii="Times New Roman" w:eastAsia="SimHei" w:hAnsi="Times New Roman"/>
          <w:b/>
          <w:bCs/>
          <w:sz w:val="24"/>
          <w:szCs w:val="24"/>
        </w:rPr>
        <w:t xml:space="preserve">Keywords: </w:t>
      </w:r>
      <w:r>
        <w:rPr>
          <w:rFonts w:ascii="Times New Roman" w:eastAsia="SimSun" w:hAnsi="Times New Roman"/>
          <w:sz w:val="24"/>
          <w:szCs w:val="24"/>
        </w:rPr>
        <w:t xml:space="preserve">holonomy, admissibility, corrected clock family, station ladder, Berry screening, monodromy, SymPy, machine theorem.</w:t>
      </w:r>
      <w:r>
        <w:br w:type="page"/>
      </w:r>
    </w:p>
    <w:p>
      <w:pPr>
        <w:spacing w:after="360" w:before="240" w:line="360"/>
        <w:jc w:val="center"/>
      </w:pPr>
      <w:r>
        <w:rPr>
          <w:rFonts w:ascii="Times New Roman" w:eastAsia="SimHei" w:hAnsi="Times New Roman"/>
          <w:b/>
          <w:bCs/>
          <w:sz w:val="32"/>
          <w:szCs w:val="32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</w:r>
          <w:r>
            <w:instrText xml:space="preserve">TOC \h \o "1-3"</w:instrText>
          </w:r>
          <w:r>
            <w:fldChar w:fldCharType="separate"/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0" w:history="1">
            <w:r>
              <w:rPr>
                <w:rStyle w:val="Hyperlink"/>
              </w:rPr>
              <w:t>1. Introduction</w:t>
            </w:r>
            <w:r>
              <w:tab/>
            </w:r>
            <w:r>
              <w:fldChar w:fldCharType="begin"/>
            </w:r>
            <w:r>
              <w:instrText xml:space="preserve"> PAGEREF _Toc100000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1" w:history="1">
            <w:r>
              <w:rPr>
                <w:rStyle w:val="Hyperlink"/>
              </w:rPr>
              <w:t>2. Notation and Setting</w:t>
            </w:r>
            <w:r>
              <w:tab/>
            </w:r>
            <w:r>
              <w:fldChar w:fldCharType="begin"/>
            </w:r>
            <w:r>
              <w:instrText xml:space="preserve"> PAGEREF _Toc100001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2" w:history="1">
            <w:r>
              <w:rPr>
                <w:rStyle w:val="Hyperlink"/>
              </w:rPr>
              <w:t>3. Statement of the Theorem</w:t>
            </w:r>
            <w:r>
              <w:tab/>
            </w:r>
            <w:r>
              <w:fldChar w:fldCharType="begin"/>
            </w:r>
            <w:r>
              <w:instrText xml:space="preserve"> PAGEREF _Toc100002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3" w:history="1">
            <w:r>
              <w:rPr>
                <w:rStyle w:val="Hyperlink"/>
              </w:rPr>
              <w:t>4. Sketch of the Machine Proof</w:t>
            </w:r>
            <w:r>
              <w:tab/>
            </w:r>
            <w:r>
              <w:fldChar w:fldCharType="begin"/>
            </w:r>
            <w:r>
              <w:instrText xml:space="preserve"> PAGEREF _Toc100003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4" w:history="1">
            <w:r>
              <w:rPr>
                <w:rStyle w:val="Hyperlink"/>
              </w:rPr>
              <w:t>4.1. Ring consistency (i)</w:t>
            </w:r>
            <w:r>
              <w:tab/>
            </w:r>
            <w:r>
              <w:fldChar w:fldCharType="begin"/>
            </w:r>
            <w:r>
              <w:instrText xml:space="preserve"> PAGEREF _Toc100004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5" w:history="1">
            <w:r>
              <w:rPr>
                <w:rStyle w:val="Hyperlink"/>
              </w:rPr>
              <w:t>4.2. Branch consistency and the doors audit (ii)</w:t>
            </w:r>
            <w:r>
              <w:tab/>
            </w:r>
            <w:r>
              <w:fldChar w:fldCharType="begin"/>
            </w:r>
            <w:r>
              <w:instrText xml:space="preserve"> PAGEREF _Toc100005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6" w:history="1">
            <w:r>
              <w:rPr>
                <w:rStyle w:val="Hyperlink"/>
              </w:rPr>
              <w:t>4.3. The family, the ladder, and the books (iii)–(iv)</w:t>
            </w:r>
            <w:r>
              <w:tab/>
            </w:r>
            <w:r>
              <w:fldChar w:fldCharType="begin"/>
            </w:r>
            <w:r>
              <w:instrText xml:space="preserve"> PAGEREF _Toc100006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7" w:history="1">
            <w:r>
              <w:rPr>
                <w:rStyle w:val="Hyperlink"/>
              </w:rPr>
              <w:t>5. Numerical Results</w:t>
            </w:r>
            <w:r>
              <w:tab/>
            </w:r>
            <w:r>
              <w:fldChar w:fldCharType="begin"/>
            </w:r>
            <w:r>
              <w:instrText xml:space="preserve"> PAGEREF _Toc100007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8" w:history="1">
            <w:r>
              <w:rPr>
                <w:rStyle w:val="Hyperlink"/>
              </w:rPr>
              <w:t>6. Corollaries</w:t>
            </w:r>
            <w:r>
              <w:tab/>
            </w:r>
            <w:r>
              <w:fldChar w:fldCharType="begin"/>
            </w:r>
            <w:r>
              <w:instrText xml:space="preserve"> PAGEREF _Toc100008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9" w:history="1">
            <w:r>
              <w:rPr>
                <w:rStyle w:val="Hyperlink"/>
              </w:rPr>
              <w:t>7. Honest Caveats</w:t>
            </w:r>
            <w:r>
              <w:tab/>
            </w:r>
            <w:r>
              <w:fldChar w:fldCharType="begin"/>
            </w:r>
            <w:r>
              <w:instrText xml:space="preserve"> PAGEREF _Toc100009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10" w:history="1">
            <w:r>
              <w:rPr>
                <w:rStyle w:val="Hyperlink"/>
              </w:rPr>
              <w:t>8. Reproducibility</w:t>
            </w:r>
            <w:r>
              <w:tab/>
            </w:r>
            <w:r>
              <w:fldChar w:fldCharType="begin"/>
            </w:r>
            <w:r>
              <w:instrText xml:space="preserve"> PAGEREF _Toc100010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11" w:history="1">
            <w:r>
              <w:rPr>
                <w:rStyle w:val="Hyperlink"/>
              </w:rPr>
              <w:t>References</w:t>
            </w:r>
            <w:r>
              <w:tab/>
            </w:r>
            <w:r>
              <w:fldChar w:fldCharType="begin"/>
            </w:r>
            <w:r>
              <w:instrText xml:space="preserve"> PAGEREF _Toc100011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>
          <w:r>
            <w:fldChar w:fldCharType="end"/>
          </w:r>
        </w:p>
      </w:sdtContent>
    </w:sdt>
    <w:p>
      <w:pPr>
        <w:spacing w:before="200"/>
      </w:pPr>
      <w:r>
        <w:rPr>
          <w:rFonts w:ascii="Times New Roman" w:eastAsia="SimSun" w:hAnsi="Times New Roman"/>
          <w:i/>
          <w:iCs/>
          <w:color w:val="888888"/>
          <w:sz w:val="18"/>
          <w:szCs w:val="18"/>
        </w:rPr>
        <w:t xml:space="preserve">Note: this Table of Contents is generated via field codes. To ensure page number accuracy after editing, please right-click the TOC and select “Update Field”.</w:t>
      </w:r>
    </w:p>
    <w:p>
      <w:pPr>
        <w:sectPr>
          <w:headerReference w:type="default" r:id="rId8"/>
          <w:footerReference w:type="default" r:id="rId9"/>
          <w:type w:val="nextPage"/>
          <w:pgSz w:w="11906" w:h="16838" w:orient="portrait"/>
          <w:pgMar w:top="1440" w:right="1417" w:bottom="1440" w:left="1701" w:header="850" w:footer="992" w:gutter="0"/>
          <w:pgNumType w:start="1" w:fmt="upperRoman"/>
          <w:docGrid w:linePitch="360"/>
        </w:sectPr>
      </w:pPr>
    </w:p>
    <w:p>
      <w:pPr>
        <w:pStyle w:val="Heading1"/>
        <w:spacing w:after="360" w:before="480" w:line="360"/>
        <w:jc w:val="center"/>
      </w:pPr>
      <w:bookmarkStart w:id="100000" w:name="_Toc100000"/>
      <w:r>
        <w:rPr>
          <w:rFonts w:ascii="Times New Roman" w:eastAsia="SimHei" w:hAnsi="Times New Roman"/>
          <w:b/>
          <w:bCs/>
          <w:color w:val="000000"/>
          <w:sz w:val="32"/>
          <w:szCs w:val="32"/>
        </w:rPr>
        <w:t xml:space="preserve">1. Introduction</w:t>
      </w:r>
      <w:bookmarkEnd w:id="100000"/>
    </w:p>
    <w:p>
      <w:pPr>
        <w:spacing w:after="80" w:before="0" w:line="360"/>
        <w:ind w:firstLine="480"/>
        <w:jc w:val="both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This monograph opens the English block of the Twelve Theorems cycle and records the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holonomy theorem of the corrected system: the machine-proved admissibility statement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for spinor corrections and the exact corrected clock family τ*(κ) = 27/(2κ) with its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holonomy-invariant station ladder. The result was delivered by campaign v11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(sympy_spectrum_tau_star.py together with sympy_spinor_corrections.py, LEDGER §22)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and independently confirmed by the one-brick Berry machine s4_berry_one_brick.py.</w:t>
      </w:r>
    </w:p>
    <w:p>
      <w:pPr>
        <w:spacing w:after="80" w:before="0" w:line="360"/>
        <w:ind w:firstLine="480"/>
        <w:jc w:val="both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The theorem answers three questions at once. First, how may a holonomy-type correction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enter the tower without killing the CSS point: the ring consistency requires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κ_C1 = κ_C2 (the two zero channels must be corrected equally) and the branch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consistency requires κ_C2 = κ_TH, so the correction is admissible only as a uniform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renormalization κ → κ_hol. Second, what survives the correction: the exact family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τ*(κ) = 27/(2κ) and the station ladder R3h = 3/2, W2h = 9, R5h = 183/40,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M5h = −105/4 are holonomy-invariant. Third, which book closes the observed clock: the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additive Berry screening κ = 2 − π²/98 moves ln(τ*) from −2.57% to +0.062% of the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observed value — a measurement-grade closure without any fitting.</w:t>
      </w:r>
    </w:p>
    <w:p>
      <w:pPr>
        <w:pStyle w:val="Heading1"/>
        <w:spacing w:after="360" w:before="480" w:line="360"/>
        <w:jc w:val="center"/>
      </w:pPr>
      <w:bookmarkStart w:id="100001" w:name="_Toc100001"/>
      <w:r>
        <w:rPr>
          <w:rFonts w:ascii="Times New Roman" w:eastAsia="SimHei" w:hAnsi="Times New Roman"/>
          <w:b/>
          <w:bCs/>
          <w:color w:val="000000"/>
          <w:sz w:val="32"/>
          <w:szCs w:val="32"/>
        </w:rPr>
        <w:t xml:space="preserve">2. Notation and Setting</w:t>
      </w:r>
      <w:bookmarkEnd w:id="100001"/>
    </w:p>
    <w:p>
      <w:pPr>
        <w:spacing w:after="80" w:before="0" w:line="360"/>
        <w:ind w:firstLine="480"/>
        <w:jc w:val="both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The corrected system carries a dimensionless constant κ entering the books through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the ring normalization: the ring clock reads W2h/T0h² = 2κ/3. Three κ-channels are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distinguished: κ_C1 and κ_C2 — the constants of the two C1-ring zero channels — and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κ_TH — the constant of the TH branch. The static chain, the books UV_ξ3 and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Mdef_ξ5, and the critical point x* are as in the Russian block of the series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(monographs No. 1–6); the reader is assumed familiar with the chain forms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R3h = 2R1h·T0h²/9, W2h = 4T0h²/3, P2h = T0h/3.</w:t>
      </w:r>
    </w:p>
    <w:p>
      <w:pPr>
        <w:spacing w:after="80" w:before="0" w:line="360"/>
        <w:ind w:firstLine="480"/>
        <w:jc w:val="both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The setting of the theorem is an audit of correction schemes: the machine embeds a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one-parameter family of holonomy corrections into the tower and asks when the CSS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point survives. Twelve schemes were tested; ten keep the point alive, two kill it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(the family scheme and the deliberate violation demo). The admissibility statements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below are proved on the surviving sector.</w:t>
      </w:r>
    </w:p>
    <w:p>
      <w:pPr>
        <w:keepNext/>
        <w:spacing w:after="60" w:before="200" w:line="360"/>
        <w:jc w:val="center"/>
      </w:pPr>
      <w:r>
        <w:rPr>
          <w:rFonts w:ascii="Times New Roman" w:eastAsia="SimSun" w:hAnsi="Times New Roman"/>
          <w:sz w:val="21"/>
          <w:szCs w:val="21"/>
        </w:rPr>
        <w:t xml:space="preserve">Table 7.1. Notation used in this monograph</w:t>
      </w:r>
    </w:p>
    <w:tbl>
      <w:tblPr>
        <w:tblW w:type="pct" w:w="5000"/>
        <w:tblBorders>
          <w:top w:val="single" w:color="000000" w:sz="4"/>
          <w:left w:val="none" w:color="FFFFFF" w:sz="0"/>
          <w:bottom w:val="single" w:color="000000" w:sz="4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636"/>
        <w:gridCol w:w="6152"/>
      </w:tblGrid>
      <w:tr>
        <w:trPr>
          <w:cantSplit/>
          <w:tblHeader/>
        </w:trPr>
        <w:tc>
          <w:tcPr>
            <w:tcW w:type="pct" w:w="1500"/>
            <w:tcBorders>
              <w:top w:val="none" w:color="FFFFFF" w:sz="0"/>
              <w:left w:val="none" w:color="FFFFFF" w:sz="0"/>
              <w:bottom w:val="single" w:color="000000" w:sz="2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21"/>
                <w:szCs w:val="21"/>
              </w:rPr>
              <w:t xml:space="preserve">Symbol</w:t>
            </w:r>
          </w:p>
        </w:tc>
        <w:tc>
          <w:tcPr>
            <w:tcW w:type="pct" w:w="3500"/>
            <w:tcBorders>
              <w:top w:val="none" w:color="FFFFFF" w:sz="0"/>
              <w:left w:val="none" w:color="FFFFFF" w:sz="0"/>
              <w:bottom w:val="single" w:color="000000" w:sz="2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21"/>
                <w:szCs w:val="21"/>
              </w:rPr>
              <w:t xml:space="preserve">Meaning</w:t>
            </w:r>
          </w:p>
        </w:tc>
      </w:tr>
      <w:tr>
        <w:trPr>
          <w:cantSplit/>
        </w:trPr>
        <w:tc>
          <w:tcPr>
            <w:tcW w:type="pct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left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κ_C1, κ_C2</w:t>
            </w:r>
          </w:p>
        </w:tc>
        <w:tc>
          <w:tcPr>
            <w:tcW w:type="pct" w:w="3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correction constants of the two C1-ring zero channels</w:t>
            </w:r>
          </w:p>
        </w:tc>
      </w:tr>
      <w:tr>
        <w:trPr>
          <w:cantSplit/>
        </w:trPr>
        <w:tc>
          <w:tcPr>
            <w:tcW w:type="pct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left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κ_TH</w:t>
            </w:r>
          </w:p>
        </w:tc>
        <w:tc>
          <w:tcPr>
            <w:tcW w:type="pct" w:w="3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correction constant of the TH branch</w:t>
            </w:r>
          </w:p>
        </w:tc>
      </w:tr>
      <w:tr>
        <w:trPr>
          <w:cantSplit/>
        </w:trPr>
        <w:tc>
          <w:tcPr>
            <w:tcW w:type="pct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left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κ_hol</w:t>
            </w:r>
          </w:p>
        </w:tc>
        <w:tc>
          <w:tcPr>
            <w:tcW w:type="pct" w:w="3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the uniform (diagonal) holonomy constant — the only admissible form</w:t>
            </w:r>
          </w:p>
        </w:tc>
      </w:tr>
      <w:tr>
        <w:trPr>
          <w:cantSplit/>
        </w:trPr>
        <w:tc>
          <w:tcPr>
            <w:tcW w:type="pct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left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τ*(κ) = 27/(2κ)</w:t>
            </w:r>
          </w:p>
        </w:tc>
        <w:tc>
          <w:tcPr>
            <w:tcW w:type="pct" w:w="3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exact corrected clock family</w:t>
            </w:r>
          </w:p>
        </w:tc>
      </w:tr>
      <w:tr>
        <w:trPr>
          <w:cantSplit/>
        </w:trPr>
        <w:tc>
          <w:tcPr>
            <w:tcW w:type="pct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left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bC = π²/98</w:t>
            </w:r>
          </w:p>
        </w:tc>
        <w:tc>
          <w:tcPr>
            <w:tcW w:type="pct" w:w="3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the Berry spinor quantum of the surviving brick δ_C = π/7</w:t>
            </w:r>
          </w:p>
        </w:tc>
      </w:tr>
      <w:tr>
        <w:trPr>
          <w:cantSplit/>
        </w:trPr>
        <w:tc>
          <w:tcPr>
            <w:tcW w:type="pct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left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κ_obs</w:t>
            </w:r>
          </w:p>
        </w:tc>
        <w:tc>
          <w:tcPr>
            <w:tcW w:type="pct" w:w="3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the observed constant, κ_obs = γ_lit·ln10/Δ_sp (comparison anchor)</w:t>
            </w:r>
          </w:p>
        </w:tc>
      </w:tr>
    </w:tbl>
    <w:p>
      <w:pPr>
        <w:spacing w:after="120" w:line="240"/>
      </w:pPr>
    </w:p>
    <w:p>
      <w:pPr>
        <w:pStyle w:val="Heading1"/>
        <w:spacing w:after="360" w:before="480" w:line="360"/>
        <w:jc w:val="center"/>
      </w:pPr>
      <w:bookmarkStart w:id="100002" w:name="_Toc100002"/>
      <w:r>
        <w:rPr>
          <w:rFonts w:ascii="Times New Roman" w:eastAsia="SimHei" w:hAnsi="Times New Roman"/>
          <w:b/>
          <w:bCs/>
          <w:color w:val="000000"/>
          <w:sz w:val="32"/>
          <w:szCs w:val="32"/>
        </w:rPr>
        <w:t xml:space="preserve">3. Statement of the Theorem</w:t>
      </w:r>
      <w:bookmarkEnd w:id="100002"/>
    </w:p>
    <w:p>
      <w:pPr>
        <w:spacing w:after="80" w:before="0" w:line="360"/>
        <w:ind w:firstLine="480"/>
        <w:jc w:val="both"/>
      </w:pPr>
      <w:r>
        <w:rPr>
          <w:rFonts w:ascii="Times New Roman" w:eastAsia="SimSun" w:hAnsi="Times New Roman"/>
          <w:b/>
          <w:bCs/>
          <w:i w:val="false"/>
          <w:iCs w:val="false"/>
          <w:color w:val="000000"/>
          <w:sz w:val="24"/>
          <w:szCs w:val="24"/>
        </w:rPr>
        <w:t xml:space="preserve">Theorem 7 (holonomy admissibility and the exact corrected family).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Let the corrected system be embedded with channel constants κ_C1, κ_C2, κ_TH. Then:</w:t>
      </w:r>
    </w:p>
    <w:p>
      <w:pPr>
        <w:spacing w:after="80" w:before="0" w:line="360"/>
        <w:ind w:firstLine="480"/>
        <w:jc w:val="both"/>
      </w:pPr>
      <w:r>
        <w:rPr>
          <w:rFonts w:ascii="Times New Roman" w:eastAsia="SimSun" w:hAnsi="Times New Roman"/>
          <w:b/>
          <w:bCs/>
          <w:i w:val="false"/>
          <w:iCs w:val="false"/>
          <w:color w:val="000000"/>
          <w:sz w:val="24"/>
          <w:szCs w:val="24"/>
        </w:rPr>
        <w:t xml:space="preserve">(i)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the C1-ring residues vanish if and only if κ_C1 = κ_C2: the holonomy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correction must be diagonal, one constant for both zero channels; any asymmetric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embedding kills the CSS point (machine fact of the scheme audit);</w:t>
      </w:r>
    </w:p>
    <w:p>
      <w:pPr>
        <w:spacing w:after="80" w:before="0" w:line="360"/>
        <w:ind w:firstLine="480"/>
        <w:jc w:val="both"/>
      </w:pPr>
      <w:r>
        <w:rPr>
          <w:rFonts w:ascii="Times New Roman" w:eastAsia="SimSun" w:hAnsi="Times New Roman"/>
          <w:b/>
          <w:bCs/>
          <w:i w:val="false"/>
          <w:iCs w:val="false"/>
          <w:color w:val="000000"/>
          <w:sz w:val="24"/>
          <w:szCs w:val="24"/>
        </w:rPr>
        <w:t xml:space="preserve">(ii)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the branch consistency κ_C2 = κ_TH collapses the three channels to one: the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correction is admissible only as a uniform renormalization κ → κ_hol, and no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κ-free “leak” exists in the SC/UV/Mdef geometry (the doors audit: no leaks — there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is no error in the equations to be corrected);</w:t>
      </w:r>
    </w:p>
    <w:p>
      <w:pPr>
        <w:spacing w:after="80" w:before="0" w:line="360"/>
        <w:ind w:firstLine="480"/>
        <w:jc w:val="both"/>
      </w:pPr>
      <w:r>
        <w:rPr>
          <w:rFonts w:ascii="Times New Roman" w:eastAsia="SimSun" w:hAnsi="Times New Roman"/>
          <w:b/>
          <w:bCs/>
          <w:i w:val="false"/>
          <w:iCs w:val="false"/>
          <w:color w:val="000000"/>
          <w:sz w:val="24"/>
          <w:szCs w:val="24"/>
        </w:rPr>
        <w:t xml:space="preserve">(iii)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the corrected clock family is exact:</w:t>
      </w:r>
    </w:p>
    <w:p>
      <w:pPr>
        <w:tabs>
          <w:tab w:val="center" w:pos="4300"/>
          <w:tab w:val="right" w:pos="8700"/>
        </w:tabs>
        <w:spacing w:after="120" w:before="120" w:line="360"/>
      </w:pPr>
      <w:r>
        <w:t xml:space="preserve">	</w:t>
      </w:r>
      <m:oMath>
        <m:sSup>
          <m:sSupPr/>
          <m:e>
            <m:r>
              <m:t>\tau</m:t>
            </m:r>
          </m:e>
          <m:sup>
            <m:r>
              <m:t>*</m:t>
            </m:r>
          </m:sup>
        </m:sSup>
        <m:r>
          <m:t xml:space="preserve">(\kappa)\ =\ </m:t>
        </m:r>
        <m:f>
          <m:num>
            <m:r>
              <m:t>27</m:t>
            </m:r>
          </m:num>
          <m:den>
            <m:r>
              <m:t>2\kappa</m:t>
            </m:r>
          </m:den>
        </m:f>
        <m:sSub>
          <m:sSubPr/>
          <m:e>
            <m:r>
              <m:t>,\qquad \kappa\ =\ \kappa</m:t>
            </m:r>
          </m:e>
          <m:sub>
            <m:r>
              <m:t>\mathrm{hol}</m:t>
            </m:r>
          </m:sub>
        </m:sSub>
        <m:r>
          <m:t>,</m:t>
        </m:r>
      </m:oMath>
      <w:r>
        <w:rPr>
          <w:rFonts w:ascii="Times New Roman" w:eastAsia="SimSun" w:hAnsi="Times New Roman"/>
          <w:sz w:val="24"/>
          <w:szCs w:val="24"/>
        </w:rPr>
        <w:t xml:space="preserve">	(7.1)</w:t>
      </w:r>
    </w:p>
    <w:p>
      <w:pPr>
        <w:spacing w:after="80" w:before="0" w:line="360"/>
        <w:ind w:firstLine="480"/>
        <w:jc w:val="both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with the holonomy-invariant station ladder R3h = 3/2 (exactly), W2h = 9, R5h = 183/40,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M5h = −105/4, P4h = 153√3/10, P2h = √3/2 = sin(π/3), T0h = 3√3/2, and the ring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normalization W2h/T0h² = 2κ/3;</w:t>
      </w:r>
    </w:p>
    <w:p>
      <w:pPr>
        <w:spacing w:after="80" w:before="0" w:line="360"/>
        <w:ind w:firstLine="480"/>
        <w:jc w:val="both"/>
      </w:pPr>
      <w:r>
        <w:rPr>
          <w:rFonts w:ascii="Times New Roman" w:eastAsia="SimSun" w:hAnsi="Times New Roman"/>
          <w:b/>
          <w:bCs/>
          <w:i w:val="false"/>
          <w:iCs w:val="false"/>
          <w:color w:val="000000"/>
          <w:sz w:val="24"/>
          <w:szCs w:val="24"/>
        </w:rPr>
        <w:t xml:space="preserve">(iv)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the book of the family is κ_book = ln(27/4) = 3ln3 − 2ln2 =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4ln(3/2) + ln(4/3) (five books plus one zero pivot over six stations); its deviation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from the observed anchor is −2.574%; the additive Berry screening κ = 2 − π²/98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closes it to +0.062%, while the monograph-sign multiplicative book moves away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(−7.43%).</w:t>
      </w:r>
    </w:p>
    <w:p>
      <w:pPr>
        <w:pStyle w:val="Heading1"/>
        <w:spacing w:after="360" w:before="480" w:line="360"/>
        <w:jc w:val="center"/>
      </w:pPr>
      <w:bookmarkStart w:id="100003" w:name="_Toc100003"/>
      <w:r>
        <w:rPr>
          <w:rFonts w:ascii="Times New Roman" w:eastAsia="SimHei" w:hAnsi="Times New Roman"/>
          <w:b/>
          <w:bCs/>
          <w:color w:val="000000"/>
          <w:sz w:val="32"/>
          <w:szCs w:val="32"/>
        </w:rPr>
        <w:t xml:space="preserve">4. Sketch of the Machine Proof</w:t>
      </w:r>
      <w:bookmarkEnd w:id="100003"/>
    </w:p>
    <w:p>
      <w:pPr>
        <w:pStyle w:val="Heading2"/>
        <w:spacing w:after="240" w:before="360" w:line="360"/>
      </w:pPr>
      <w:bookmarkStart w:id="100004" w:name="_Toc100004"/>
      <w:r>
        <w:rPr>
          <w:rFonts w:ascii="Times New Roman" w:eastAsia="SimHei" w:hAnsi="Times New Roman"/>
          <w:b/>
          <w:bCs/>
          <w:color w:val="000000"/>
          <w:sz w:val="30"/>
          <w:szCs w:val="30"/>
        </w:rPr>
        <w:t xml:space="preserve">4.1. Ring consistency (i)</w:t>
      </w:r>
      <w:bookmarkEnd w:id="100004"/>
    </w:p>
    <w:p>
      <w:pPr>
        <w:spacing w:after="80" w:before="0" w:line="360"/>
        <w:ind w:firstLine="480"/>
        <w:jc w:val="both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The machine embeds the corrections into the C1-ring residues and simplifies. The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residues factorize, and every surviving factor carries the difference κ_C1 − κ_C2: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the residues vanish identically in κ exactly when the two channel constants coincide.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This is proved as a polynomial identity in Q(κ_C1, κ_C2, κ_TH), so the conclusion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“diagonal or dead” is exact, not a numerical observation. The scheme audit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demonstrates the contrapositive: asymmetric embeddings move the CSS point off the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constraint set, and the two dead schemes record the mechanism.</w:t>
      </w:r>
    </w:p>
    <w:p>
      <w:pPr>
        <w:pStyle w:val="Heading2"/>
        <w:spacing w:after="240" w:before="360" w:line="360"/>
      </w:pPr>
      <w:bookmarkStart w:id="100005" w:name="_Toc100005"/>
      <w:r>
        <w:rPr>
          <w:rFonts w:ascii="Times New Roman" w:eastAsia="SimHei" w:hAnsi="Times New Roman"/>
          <w:b/>
          <w:bCs/>
          <w:color w:val="000000"/>
          <w:sz w:val="30"/>
          <w:szCs w:val="30"/>
        </w:rPr>
        <w:t xml:space="preserve">4.2. Branch consistency and the doors audit (ii)</w:t>
      </w:r>
      <w:bookmarkEnd w:id="100005"/>
    </w:p>
    <w:p>
      <w:pPr>
        <w:spacing w:after="80" w:before="0" w:line="360"/>
        <w:ind w:firstLine="480"/>
        <w:jc w:val="both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The second layer embeds the TH branch and shows the branch residues vanish only at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κ_C2 = κ_TH; combined with (i), all three channels collapse to a single κ_hol. The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doors audit checks the κ-free geometry: the SC/UV/Mdef doors close identically with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and without κ, i.e., the tower does not “leak” — there is no pre-existing error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that a correction would fix. Consequently the correction can only renormalize, never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repair; this honesty point guides the whole embedding programme.</w:t>
      </w:r>
    </w:p>
    <w:p>
      <w:pPr>
        <w:pStyle w:val="Heading2"/>
        <w:spacing w:after="240" w:before="360" w:line="360"/>
      </w:pPr>
      <w:bookmarkStart w:id="100006" w:name="_Toc100006"/>
      <w:r>
        <w:rPr>
          <w:rFonts w:ascii="Times New Roman" w:eastAsia="SimHei" w:hAnsi="Times New Roman"/>
          <w:b/>
          <w:bCs/>
          <w:color w:val="000000"/>
          <w:sz w:val="30"/>
          <w:szCs w:val="30"/>
        </w:rPr>
        <w:t xml:space="preserve">4.3. The family, the ladder, and the books (iii)–(iv)</w:t>
      </w:r>
      <w:bookmarkEnd w:id="100006"/>
    </w:p>
    <w:p>
      <w:pPr>
        <w:spacing w:after="80" w:before="0" w:line="360"/>
        <w:ind w:firstLine="480"/>
        <w:jc w:val="both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With κ uniform, the corrected chain equations solve exactly, and the clock factor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2κ·T0h² − 27 has the unique positive root T0h = √(27/(2κ)), whence (7.1). The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station ladder is invariant: R3h = 3/2, W2h = 9, R5h = 183/40, M5h = −105/4 do not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depend on κ — they are holonomy-blind; only the clock moves. The log-closed ladder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has monodromy product exactly 1 around the six-station loop (log-sum 1.2×10⁻¹²⁵).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The book decomposition and the Berry closure are quoted from s4_berry_one_brick and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the v12 one-brick run: ln(τ*) closes from −2.574% (baseline) to +0.062% (brick).</w:t>
      </w:r>
    </w:p>
    <w:p>
      <w:pPr>
        <w:keepNext/>
        <w:spacing w:after="60" w:before="200" w:line="360"/>
        <w:jc w:val="center"/>
      </w:pPr>
      <w:r>
        <w:rPr>
          <w:rFonts w:ascii="Times New Roman" w:eastAsia="SimSun" w:hAnsi="Times New Roman"/>
          <w:sz w:val="21"/>
          <w:szCs w:val="21"/>
        </w:rPr>
        <w:t xml:space="preserve">Table 7.2. Layers of the verdict (spinor_corrections / spectrum_tau_star)</w:t>
      </w:r>
    </w:p>
    <w:tbl>
      <w:tblPr>
        <w:tblW w:type="pct" w:w="5000"/>
        <w:tblBorders>
          <w:top w:val="single" w:color="000000" w:sz="4"/>
          <w:left w:val="none" w:color="FFFFFF" w:sz="0"/>
          <w:bottom w:val="single" w:color="000000" w:sz="4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582"/>
        <w:gridCol w:w="4746"/>
        <w:gridCol w:w="2461"/>
      </w:tblGrid>
      <w:tr>
        <w:trPr>
          <w:cantSplit/>
          <w:tblHeader/>
        </w:trPr>
        <w:tc>
          <w:tcPr>
            <w:tcW w:type="pct" w:w="900"/>
            <w:tcBorders>
              <w:top w:val="none" w:color="FFFFFF" w:sz="0"/>
              <w:left w:val="none" w:color="FFFFFF" w:sz="0"/>
              <w:bottom w:val="single" w:color="000000" w:sz="2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21"/>
                <w:szCs w:val="21"/>
              </w:rPr>
              <w:t xml:space="preserve">Layer</w:t>
            </w:r>
          </w:p>
        </w:tc>
        <w:tc>
          <w:tcPr>
            <w:tcW w:type="pct" w:w="2700"/>
            <w:tcBorders>
              <w:top w:val="none" w:color="FFFFFF" w:sz="0"/>
              <w:left w:val="none" w:color="FFFFFF" w:sz="0"/>
              <w:bottom w:val="single" w:color="000000" w:sz="2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21"/>
                <w:szCs w:val="21"/>
              </w:rPr>
              <w:t xml:space="preserve">Statement</w:t>
            </w:r>
          </w:p>
        </w:tc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000000" w:sz="2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21"/>
                <w:szCs w:val="21"/>
              </w:rPr>
              <w:t xml:space="preserve">Status</w:t>
            </w:r>
          </w:p>
        </w:tc>
      </w:tr>
      <w:tr>
        <w:trPr>
          <w:cantSplit/>
        </w:trPr>
        <w:tc>
          <w:tcPr>
            <w:tcW w:type="pct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left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S1 doors</w:t>
            </w:r>
          </w:p>
        </w:tc>
        <w:tc>
          <w:tcPr>
            <w:tcW w:type="pct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SC/UV/Mdef geometry is κ-free; no leaks</w:t>
            </w:r>
          </w:p>
        </w:tc>
        <w:tc>
          <w:tcPr>
            <w:tcW w:type="pct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exact</w:t>
            </w:r>
          </w:p>
        </w:tc>
      </w:tr>
      <w:tr>
        <w:trPr>
          <w:cantSplit/>
        </w:trPr>
        <w:tc>
          <w:tcPr>
            <w:tcW w:type="pct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left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S2 ring</w:t>
            </w:r>
          </w:p>
        </w:tc>
        <w:tc>
          <w:tcPr>
            <w:tcW w:type="pct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C1-residues vanish iff κ_C1 = κ_C2 (diagonal)</w:t>
            </w:r>
          </w:p>
        </w:tc>
        <w:tc>
          <w:tcPr>
            <w:tcW w:type="pct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exact (polynomial)</w:t>
            </w:r>
          </w:p>
        </w:tc>
      </w:tr>
      <w:tr>
        <w:trPr>
          <w:cantSplit/>
        </w:trPr>
        <w:tc>
          <w:tcPr>
            <w:tcW w:type="pct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left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S3 branch</w:t>
            </w:r>
          </w:p>
        </w:tc>
        <w:tc>
          <w:tcPr>
            <w:tcW w:type="pct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κ_C2 = κ_TH required; uniform κ_hol only</w:t>
            </w:r>
          </w:p>
        </w:tc>
        <w:tc>
          <w:tcPr>
            <w:tcW w:type="pct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exact (polynomial)</w:t>
            </w:r>
          </w:p>
        </w:tc>
      </w:tr>
      <w:tr>
        <w:trPr>
          <w:cantSplit/>
        </w:trPr>
        <w:tc>
          <w:tcPr>
            <w:tcW w:type="pct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left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spectrum</w:t>
            </w:r>
          </w:p>
        </w:tc>
        <w:tc>
          <w:tcPr>
            <w:tcW w:type="pct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at τ*: char = 9λ⁴·Q12(λ), deg 16; only genuine real root λ = 0</w:t>
            </w:r>
          </w:p>
        </w:tc>
        <w:tc>
          <w:tcPr>
            <w:tcW w:type="pct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exact + Q(√3)</w:t>
            </w:r>
          </w:p>
        </w:tc>
      </w:tr>
      <w:tr>
        <w:trPr>
          <w:cantSplit/>
        </w:trPr>
        <w:tc>
          <w:tcPr>
            <w:tcW w:type="pct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left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books</w:t>
            </w:r>
          </w:p>
        </w:tc>
        <w:tc>
          <w:tcPr>
            <w:tcW w:type="pct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κ_book = ln(27/4) = 4ln(3/2) + ln(4/3); Berry closes to +0.062%</w:t>
            </w:r>
          </w:p>
        </w:tc>
        <w:tc>
          <w:tcPr>
            <w:tcW w:type="pct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exact form + measurement</w:t>
            </w:r>
          </w:p>
        </w:tc>
      </w:tr>
    </w:tbl>
    <w:p>
      <w:pPr>
        <w:spacing w:after="120" w:line="240"/>
      </w:pPr>
    </w:p>
    <w:p>
      <w:pPr>
        <w:pStyle w:val="Heading1"/>
        <w:spacing w:after="360" w:before="480" w:line="360"/>
        <w:jc w:val="center"/>
      </w:pPr>
      <w:bookmarkStart w:id="100007" w:name="_Toc100007"/>
      <w:r>
        <w:rPr>
          <w:rFonts w:ascii="Times New Roman" w:eastAsia="SimHei" w:hAnsi="Times New Roman"/>
          <w:b/>
          <w:bCs/>
          <w:color w:val="000000"/>
          <w:sz w:val="32"/>
          <w:szCs w:val="32"/>
        </w:rPr>
        <w:t xml:space="preserve">5. Numerical Results</w:t>
      </w:r>
      <w:bookmarkEnd w:id="100007"/>
    </w:p>
    <w:p>
      <w:pPr>
        <w:keepNext/>
        <w:spacing w:after="60" w:before="200" w:line="360"/>
        <w:jc w:val="center"/>
      </w:pPr>
      <w:r>
        <w:rPr>
          <w:rFonts w:ascii="Times New Roman" w:eastAsia="SimSun" w:hAnsi="Times New Roman"/>
          <w:sz w:val="21"/>
          <w:szCs w:val="21"/>
        </w:rPr>
        <w:t xml:space="preserve">Table 7.3. The holonomy-invariant station ladder at x*</w:t>
      </w:r>
    </w:p>
    <w:tbl>
      <w:tblPr>
        <w:tblW w:type="pct" w:w="5000"/>
        <w:tblBorders>
          <w:top w:val="single" w:color="000000" w:sz="4"/>
          <w:left w:val="none" w:color="FFFFFF" w:sz="0"/>
          <w:bottom w:val="single" w:color="000000" w:sz="4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758"/>
        <w:gridCol w:w="3867"/>
        <w:gridCol w:w="3164"/>
      </w:tblGrid>
      <w:tr>
        <w:trPr>
          <w:cantSplit/>
          <w:tblHeader/>
        </w:trPr>
        <w:tc>
          <w:tcPr>
            <w:tcW w:type="pct" w:w="1000"/>
            <w:tcBorders>
              <w:top w:val="none" w:color="FFFFFF" w:sz="0"/>
              <w:left w:val="none" w:color="FFFFFF" w:sz="0"/>
              <w:bottom w:val="single" w:color="000000" w:sz="2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21"/>
                <w:szCs w:val="21"/>
              </w:rPr>
              <w:t xml:space="preserve">Station</w:t>
            </w:r>
          </w:p>
        </w:tc>
        <w:tc>
          <w:tcPr>
            <w:tcW w:type="pct" w:w="2200"/>
            <w:tcBorders>
              <w:top w:val="none" w:color="FFFFFF" w:sz="0"/>
              <w:left w:val="none" w:color="FFFFFF" w:sz="0"/>
              <w:bottom w:val="single" w:color="000000" w:sz="2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21"/>
                <w:szCs w:val="21"/>
              </w:rPr>
              <w:t xml:space="preserve">Exact value</w:t>
            </w:r>
          </w:p>
        </w:tc>
        <w:tc>
          <w:tcPr>
            <w:tcW w:type="pct" w:w="1800"/>
            <w:tcBorders>
              <w:top w:val="none" w:color="FFFFFF" w:sz="0"/>
              <w:left w:val="none" w:color="FFFFFF" w:sz="0"/>
              <w:bottom w:val="single" w:color="000000" w:sz="2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21"/>
                <w:szCs w:val="21"/>
              </w:rPr>
              <w:t xml:space="preserve">Decimal</w:t>
            </w:r>
          </w:p>
        </w:tc>
      </w:tr>
      <w:tr>
        <w:trPr>
          <w:cantSplit/>
        </w:trPr>
        <w:tc>
          <w:tcPr>
            <w:tcW w:type="pct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left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T0h</w:t>
            </w:r>
          </w:p>
        </w:tc>
        <w:tc>
          <w:tcPr>
            <w:tcW w:type="pct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3√3/2</w:t>
            </w:r>
          </w:p>
        </w:tc>
        <w:tc>
          <w:tcPr>
            <w:tcW w:type="pct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2.5980762114</w:t>
            </w:r>
          </w:p>
        </w:tc>
      </w:tr>
      <w:tr>
        <w:trPr>
          <w:cantSplit/>
        </w:trPr>
        <w:tc>
          <w:tcPr>
            <w:tcW w:type="pct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left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R3h</w:t>
            </w:r>
          </w:p>
        </w:tc>
        <w:tc>
          <w:tcPr>
            <w:tcW w:type="pct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3/2</w:t>
            </w:r>
          </w:p>
        </w:tc>
        <w:tc>
          <w:tcPr>
            <w:tcW w:type="pct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1.5</w:t>
            </w:r>
          </w:p>
        </w:tc>
      </w:tr>
      <w:tr>
        <w:trPr>
          <w:cantSplit/>
        </w:trPr>
        <w:tc>
          <w:tcPr>
            <w:tcW w:type="pct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left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W2h</w:t>
            </w:r>
          </w:p>
        </w:tc>
        <w:tc>
          <w:tcPr>
            <w:tcW w:type="pct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9</w:t>
            </w:r>
          </w:p>
        </w:tc>
        <w:tc>
          <w:tcPr>
            <w:tcW w:type="pct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9.0</w:t>
            </w:r>
          </w:p>
        </w:tc>
      </w:tr>
      <w:tr>
        <w:trPr>
          <w:cantSplit/>
        </w:trPr>
        <w:tc>
          <w:tcPr>
            <w:tcW w:type="pct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left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P2h</w:t>
            </w:r>
          </w:p>
        </w:tc>
        <w:tc>
          <w:tcPr>
            <w:tcW w:type="pct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√3/2 = sin(π/3)</w:t>
            </w:r>
          </w:p>
        </w:tc>
        <w:tc>
          <w:tcPr>
            <w:tcW w:type="pct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0.8660254038</w:t>
            </w:r>
          </w:p>
        </w:tc>
      </w:tr>
      <w:tr>
        <w:trPr>
          <w:cantSplit/>
        </w:trPr>
        <w:tc>
          <w:tcPr>
            <w:tcW w:type="pct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left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R5h</w:t>
            </w:r>
          </w:p>
        </w:tc>
        <w:tc>
          <w:tcPr>
            <w:tcW w:type="pct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183/40</w:t>
            </w:r>
          </w:p>
        </w:tc>
        <w:tc>
          <w:tcPr>
            <w:tcW w:type="pct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4.575</w:t>
            </w:r>
          </w:p>
        </w:tc>
      </w:tr>
      <w:tr>
        <w:trPr>
          <w:cantSplit/>
        </w:trPr>
        <w:tc>
          <w:tcPr>
            <w:tcW w:type="pct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left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M5h</w:t>
            </w:r>
          </w:p>
        </w:tc>
        <w:tc>
          <w:tcPr>
            <w:tcW w:type="pct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−105/4</w:t>
            </w:r>
          </w:p>
        </w:tc>
        <w:tc>
          <w:tcPr>
            <w:tcW w:type="pct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−26.25</w:t>
            </w:r>
          </w:p>
        </w:tc>
      </w:tr>
      <w:tr>
        <w:trPr>
          <w:cantSplit/>
        </w:trPr>
        <w:tc>
          <w:tcPr>
            <w:tcW w:type="pct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left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P4h</w:t>
            </w:r>
          </w:p>
        </w:tc>
        <w:tc>
          <w:tcPr>
            <w:tcW w:type="pct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153√3/10</w:t>
            </w:r>
          </w:p>
        </w:tc>
        <w:tc>
          <w:tcPr>
            <w:tcW w:type="pct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26.4970402652</w:t>
            </w:r>
          </w:p>
        </w:tc>
      </w:tr>
    </w:tbl>
    <w:p>
      <w:pPr>
        <w:spacing w:after="120" w:line="240"/>
      </w:pPr>
    </w:p>
    <w:p>
      <w:pPr>
        <w:keepNext/>
        <w:spacing w:after="60" w:before="200" w:line="360"/>
        <w:jc w:val="center"/>
      </w:pPr>
      <w:r>
        <w:rPr>
          <w:rFonts w:ascii="Times New Roman" w:eastAsia="SimSun" w:hAnsi="Times New Roman"/>
          <w:sz w:val="21"/>
          <w:szCs w:val="21"/>
        </w:rPr>
        <w:t xml:space="preserve">Table 7.4. The clock book and its closures (ln-measure against κ_obs)</w:t>
      </w:r>
    </w:p>
    <w:tbl>
      <w:tblPr>
        <w:tblW w:type="pct" w:w="5000"/>
        <w:tblBorders>
          <w:top w:val="single" w:color="000000" w:sz="4"/>
          <w:left w:val="none" w:color="FFFFFF" w:sz="0"/>
          <w:bottom w:val="single" w:color="000000" w:sz="4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109"/>
        <w:gridCol w:w="4394"/>
        <w:gridCol w:w="2285"/>
      </w:tblGrid>
      <w:tr>
        <w:trPr>
          <w:cantSplit/>
          <w:tblHeader/>
        </w:trPr>
        <w:tc>
          <w:tcPr>
            <w:tcW w:type="pct" w:w="1200"/>
            <w:tcBorders>
              <w:top w:val="none" w:color="FFFFFF" w:sz="0"/>
              <w:left w:val="none" w:color="FFFFFF" w:sz="0"/>
              <w:bottom w:val="single" w:color="000000" w:sz="2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21"/>
                <w:szCs w:val="21"/>
              </w:rPr>
              <w:t xml:space="preserve">Book</w:t>
            </w:r>
          </w:p>
        </w:tc>
        <w:tc>
          <w:tcPr>
            <w:tcW w:type="pct" w:w="2500"/>
            <w:tcBorders>
              <w:top w:val="none" w:color="FFFFFF" w:sz="0"/>
              <w:left w:val="none" w:color="FFFFFF" w:sz="0"/>
              <w:bottom w:val="single" w:color="000000" w:sz="2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21"/>
                <w:szCs w:val="21"/>
              </w:rPr>
              <w:t xml:space="preserve">Form</w:t>
            </w:r>
          </w:p>
        </w:tc>
        <w:tc>
          <w:tcPr>
            <w:tcW w:type="pct" w:w="1300"/>
            <w:tcBorders>
              <w:top w:val="none" w:color="FFFFFF" w:sz="0"/>
              <w:left w:val="none" w:color="FFFFFF" w:sz="0"/>
              <w:bottom w:val="single" w:color="000000" w:sz="2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21"/>
                <w:szCs w:val="21"/>
              </w:rPr>
              <w:t xml:space="preserve">Deviation</w:t>
            </w:r>
          </w:p>
        </w:tc>
      </w:tr>
      <w:tr>
        <w:trPr>
          <w:cantSplit/>
        </w:trPr>
        <w:tc>
          <w:tcPr>
            <w:tcW w:type="pct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left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Baseline κ_book</w:t>
            </w:r>
          </w:p>
        </w:tc>
        <w:tc>
          <w:tcPr>
            <w:tcW w:type="pct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ln(27/4) = 3ln3 − 2ln2 = 4ln(3/2) + ln(4/3)</w:t>
            </w:r>
          </w:p>
        </w:tc>
        <w:tc>
          <w:tcPr>
            <w:tcW w:type="pct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−2.574%</w:t>
            </w:r>
          </w:p>
        </w:tc>
      </w:tr>
      <w:tr>
        <w:trPr>
          <w:cantSplit/>
        </w:trPr>
        <w:tc>
          <w:tcPr>
            <w:tcW w:type="pct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left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Berry one-brick</w:t>
            </w:r>
          </w:p>
        </w:tc>
        <w:tc>
          <w:tcPr>
            <w:tcW w:type="pct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κ = 2 − π²/98 (additive screening, bC sector)</w:t>
            </w:r>
          </w:p>
        </w:tc>
        <w:tc>
          <w:tcPr>
            <w:tcW w:type="pct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+0.062%</w:t>
            </w:r>
          </w:p>
        </w:tc>
      </w:tr>
      <w:tr>
        <w:trPr>
          <w:cantSplit/>
        </w:trPr>
        <w:tc>
          <w:tcPr>
            <w:tcW w:type="pct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left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Monograph-sign</w:t>
            </w:r>
          </w:p>
        </w:tc>
        <w:tc>
          <w:tcPr>
            <w:tcW w:type="pct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multiplicative book (opposite sign)</w:t>
            </w:r>
          </w:p>
        </w:tc>
        <w:tc>
          <w:tcPr>
            <w:tcW w:type="pct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−7.43%</w:t>
            </w:r>
          </w:p>
        </w:tc>
      </w:tr>
    </w:tbl>
    <w:p>
      <w:pPr>
        <w:spacing w:after="120" w:line="240"/>
      </w:pPr>
    </w:p>
    <w:p>
      <w:pPr>
        <w:spacing w:after="80" w:before="0" w:line="360"/>
        <w:ind w:firstLine="480"/>
        <w:jc w:val="both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The spectrum at τ* completes the picture: the characteristic polynomial of the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corrected prolonged system has degree 16 and factors as 9λ⁴·Q12(λ) in exact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arithmetic over Q(√3); the only genuine real spectral point is λ = 0 (multiplicity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four), and all twelve complex roots are phantoms (full pencil rank at each,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rel σ_min ≈ 10⁻⁴–10⁻⁶). The point τ* is an isolated algebraic vertex of the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constraint landscape, not an exponential repeller; the monodromy per echo is exactly 1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— the cycle physics lives in the finite-amplitude DSS limit, not in the point.</w:t>
      </w:r>
    </w:p>
    <w:p>
      <w:pPr>
        <w:pStyle w:val="Heading1"/>
        <w:spacing w:after="360" w:before="480" w:line="360"/>
        <w:jc w:val="center"/>
      </w:pPr>
      <w:bookmarkStart w:id="100008" w:name="_Toc100008"/>
      <w:r>
        <w:rPr>
          <w:rFonts w:ascii="Times New Roman" w:eastAsia="SimHei" w:hAnsi="Times New Roman"/>
          <w:b/>
          <w:bCs/>
          <w:color w:val="000000"/>
          <w:sz w:val="32"/>
          <w:szCs w:val="32"/>
        </w:rPr>
        <w:t xml:space="preserve">6. Corollaries</w:t>
      </w:r>
      <w:bookmarkEnd w:id="100008"/>
    </w:p>
    <w:p>
      <w:pPr>
        <w:spacing w:after="80" w:before="0" w:line="360"/>
        <w:ind w:firstLine="480"/>
        <w:jc w:val="both"/>
      </w:pPr>
      <w:r>
        <w:rPr>
          <w:rFonts w:ascii="Times New Roman" w:eastAsia="SimSun" w:hAnsi="Times New Roman"/>
          <w:b/>
          <w:bCs/>
          <w:i w:val="false"/>
          <w:iCs w:val="false"/>
          <w:color w:val="000000"/>
          <w:sz w:val="24"/>
          <w:szCs w:val="24"/>
        </w:rPr>
        <w:t xml:space="preserve">Corollary 7.1 (one brick moves the clock to the observed value).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The Berry screening κ = 2 − π²/98 is the additive book of the surviving spinor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sector; combined with the exact family (7.1) it closes ln(τ*) to +0.062% of the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observed anchor without fitting. The selection status of δ_C itself is governed by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the structural barrier theorem (monograph No. 10) — the closure is an observation,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not a selection principle (multiple-testing caveat of v18a).</w:t>
      </w:r>
    </w:p>
    <w:p>
      <w:pPr>
        <w:spacing w:after="80" w:before="0" w:line="360"/>
        <w:ind w:firstLine="480"/>
        <w:jc w:val="both"/>
      </w:pPr>
      <w:r>
        <w:rPr>
          <w:rFonts w:ascii="Times New Roman" w:eastAsia="SimSun" w:hAnsi="Times New Roman"/>
          <w:b/>
          <w:bCs/>
          <w:i w:val="false"/>
          <w:iCs w:val="false"/>
          <w:color w:val="000000"/>
          <w:sz w:val="24"/>
          <w:szCs w:val="24"/>
        </w:rPr>
        <w:t xml:space="preserve">Corollary 7.2 (invariance constrains embeddings).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Any future correction scheme must preserve the ladder R3h = 3/2, W2h = 9, R5h = 183/40,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M5h = −105/4 and move only the clock along (7.1). Schemes that move the ladder are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outside the admissible class by (i)–(ii) — a falsifiable design rule for the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embedding programme.</w:t>
      </w:r>
    </w:p>
    <w:p>
      <w:pPr>
        <w:spacing w:after="80" w:before="0" w:line="360"/>
        <w:ind w:firstLine="480"/>
        <w:jc w:val="both"/>
      </w:pPr>
      <w:r>
        <w:rPr>
          <w:rFonts w:ascii="Times New Roman" w:eastAsia="SimSun" w:hAnsi="Times New Roman"/>
          <w:b/>
          <w:bCs/>
          <w:i w:val="false"/>
          <w:iCs w:val="false"/>
          <w:color w:val="000000"/>
          <w:sz w:val="24"/>
          <w:szCs w:val="24"/>
        </w:rPr>
        <w:t xml:space="preserve">Corollary 7.3 (brick-ladder compatibility).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Setting κ(δ) = 2 − δ²/2 turns (7.1) into the brick-ladder law τ*(δ) = 27/(4 − δ²)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of monograph No. 2: the two theorems are one statement in two parametrizations, which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is why the two-point protocol of the repository is legitimate.</w:t>
      </w:r>
    </w:p>
    <w:p>
      <w:pPr>
        <w:pStyle w:val="Heading1"/>
        <w:spacing w:after="360" w:before="480" w:line="360"/>
        <w:jc w:val="center"/>
      </w:pPr>
      <w:bookmarkStart w:id="100009" w:name="_Toc100009"/>
      <w:r>
        <w:rPr>
          <w:rFonts w:ascii="Times New Roman" w:eastAsia="SimHei" w:hAnsi="Times New Roman"/>
          <w:b/>
          <w:bCs/>
          <w:color w:val="000000"/>
          <w:sz w:val="32"/>
          <w:szCs w:val="32"/>
        </w:rPr>
        <w:t xml:space="preserve">7. Honest Caveats</w:t>
      </w:r>
      <w:bookmarkEnd w:id="100009"/>
    </w:p>
    <w:p>
      <w:pPr>
        <w:spacing w:after="80" w:before="0" w:line="360"/>
        <w:ind w:firstLine="480"/>
        <w:jc w:val="both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The admissibility proof is exact for the tested correction class (diagonal channel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renormalizations embedded into the C1-ring and TH-branch residues); broader classes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(non-diagonal, amplitude-dependent) were not exhausted — the scheme audit covers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twelve specific embeddings. The Berry closure is a measurement against the anchor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κ_obs built from γ_lit = 0.374 and Δ_sp = 7π/30; anchors are labelled as such and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nothing is fitted. The sign convention between additive and multiplicative books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remains open (−7.43% versus +0.062%); the monograph-sign choice moves away from the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observation and is recorded for the record. Finally, the spectrum verdict describes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the truncated tower; the O7 programme (question No. 5 of OPEN9) may refine τ*, though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the exact identity of monograph No. 8 (two independent routes to one number) makes a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substantial shift unlikely.</w:t>
      </w:r>
    </w:p>
    <w:p>
      <w:pPr>
        <w:pStyle w:val="Heading1"/>
        <w:spacing w:after="360" w:before="480" w:line="360"/>
        <w:jc w:val="center"/>
      </w:pPr>
      <w:bookmarkStart w:id="100010" w:name="_Toc100010"/>
      <w:r>
        <w:rPr>
          <w:rFonts w:ascii="Times New Roman" w:eastAsia="SimHei" w:hAnsi="Times New Roman"/>
          <w:b/>
          <w:bCs/>
          <w:color w:val="000000"/>
          <w:sz w:val="32"/>
          <w:szCs w:val="32"/>
        </w:rPr>
        <w:t xml:space="preserve">8. Reproducibility</w:t>
      </w:r>
      <w:bookmarkEnd w:id="100010"/>
    </w:p>
    <w:p>
      <w:pPr>
        <w:keepNext/>
        <w:spacing w:after="60" w:before="200" w:line="360"/>
        <w:jc w:val="center"/>
      </w:pPr>
      <w:r>
        <w:rPr>
          <w:rFonts w:ascii="Times New Roman" w:eastAsia="SimSun" w:hAnsi="Times New Roman"/>
          <w:sz w:val="21"/>
          <w:szCs w:val="21"/>
        </w:rPr>
        <w:t xml:space="preserve">Table 7.5. Reproduction protocol for Theorem 7</w:t>
      </w:r>
    </w:p>
    <w:tbl>
      <w:tblPr>
        <w:tblW w:type="pct" w:w="5000"/>
        <w:tblBorders>
          <w:top w:val="single" w:color="000000" w:sz="4"/>
          <w:left w:val="none" w:color="FFFFFF" w:sz="0"/>
          <w:bottom w:val="single" w:color="000000" w:sz="4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879"/>
        <w:gridCol w:w="3691"/>
        <w:gridCol w:w="4218"/>
      </w:tblGrid>
      <w:tr>
        <w:trPr>
          <w:cantSplit/>
          <w:tblHeader/>
        </w:trPr>
        <w:tc>
          <w:tcPr>
            <w:tcW w:type="pct" w:w="500"/>
            <w:tcBorders>
              <w:top w:val="none" w:color="FFFFFF" w:sz="0"/>
              <w:left w:val="none" w:color="FFFFFF" w:sz="0"/>
              <w:bottom w:val="single" w:color="000000" w:sz="2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21"/>
                <w:szCs w:val="21"/>
              </w:rPr>
              <w:t xml:space="preserve">Step</w:t>
            </w:r>
          </w:p>
        </w:tc>
        <w:tc>
          <w:tcPr>
            <w:tcW w:type="pct" w:w="2100"/>
            <w:tcBorders>
              <w:top w:val="none" w:color="FFFFFF" w:sz="0"/>
              <w:left w:val="none" w:color="FFFFFF" w:sz="0"/>
              <w:bottom w:val="single" w:color="000000" w:sz="2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21"/>
                <w:szCs w:val="21"/>
              </w:rPr>
              <w:t xml:space="preserve">Command</w:t>
            </w:r>
          </w:p>
        </w:tc>
        <w:tc>
          <w:tcPr>
            <w:tcW w:type="pct" w:w="2400"/>
            <w:tcBorders>
              <w:top w:val="none" w:color="FFFFFF" w:sz="0"/>
              <w:left w:val="none" w:color="FFFFFF" w:sz="0"/>
              <w:bottom w:val="single" w:color="000000" w:sz="2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21"/>
                <w:szCs w:val="21"/>
              </w:rPr>
              <w:t xml:space="preserve">Output</w:t>
            </w:r>
          </w:p>
        </w:tc>
      </w:tr>
      <w:tr>
        <w:trPr>
          <w:cantSplit/>
        </w:trPr>
        <w:tc>
          <w:tcPr>
            <w:tcW w:type="pct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left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1</w:t>
            </w:r>
          </w:p>
        </w:tc>
        <w:tc>
          <w:tcPr>
            <w:tcW w:type="pct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python3 sympy_spectrum_tau_star.py</w:t>
            </w:r>
          </w:p>
        </w:tc>
        <w:tc>
          <w:tcPr>
            <w:tcW w:type="pct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results/spectrum_tau_star.json (family + ladder + spectrum)</w:t>
            </w:r>
          </w:p>
        </w:tc>
      </w:tr>
      <w:tr>
        <w:trPr>
          <w:cantSplit/>
        </w:trPr>
        <w:tc>
          <w:tcPr>
            <w:tcW w:type="pct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left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2</w:t>
            </w:r>
          </w:p>
        </w:tc>
        <w:tc>
          <w:tcPr>
            <w:tcW w:type="pct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python3 sympy_spinor_corrections.py</w:t>
            </w:r>
          </w:p>
        </w:tc>
        <w:tc>
          <w:tcPr>
            <w:tcW w:type="pct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results/spinor_corrections.json (ring/branch consistency)</w:t>
            </w:r>
          </w:p>
        </w:tc>
      </w:tr>
      <w:tr>
        <w:trPr>
          <w:cantSplit/>
        </w:trPr>
        <w:tc>
          <w:tcPr>
            <w:tcW w:type="pct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left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3</w:t>
            </w:r>
          </w:p>
        </w:tc>
        <w:tc>
          <w:tcPr>
            <w:tcW w:type="pct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python3 s4_berry_one_brick.py</w:t>
            </w:r>
          </w:p>
        </w:tc>
        <w:tc>
          <w:tcPr>
            <w:tcW w:type="pct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one-brick Berry screening κ = 2 − π²/98</w:t>
            </w:r>
          </w:p>
        </w:tc>
      </w:tr>
      <w:tr>
        <w:trPr>
          <w:cantSplit/>
        </w:trPr>
        <w:tc>
          <w:tcPr>
            <w:tcW w:type="pct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left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4</w:t>
            </w:r>
          </w:p>
        </w:tc>
        <w:tc>
          <w:tcPr>
            <w:tcW w:type="pct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python3 -m pytest tests/ -q</w:t>
            </w:r>
          </w:p>
        </w:tc>
        <w:tc>
          <w:tcPr>
            <w:tcW w:type="pct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58 passed (holonomy tests included)</w:t>
            </w:r>
          </w:p>
        </w:tc>
      </w:tr>
    </w:tbl>
    <w:p>
      <w:pPr>
        <w:spacing w:after="120" w:line="240"/>
      </w:pPr>
    </w:p>
    <w:p>
      <w:pPr>
        <w:spacing w:after="80" w:before="0" w:line="360"/>
        <w:ind w:firstLine="480"/>
        <w:jc w:val="both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All machines are deterministic and single-threaded (BLAS = 1); runtimes are minutes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on a laptop and comparable in Termux. The data correspond to commit 5b256cd; the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self-contained machine copies live in einstein_direct/open9/machines/ with a private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results copy.</w:t>
      </w:r>
    </w:p>
    <w:p>
      <w:pPr>
        <w:pStyle w:val="Heading1"/>
        <w:spacing w:after="360" w:before="480" w:line="360"/>
        <w:jc w:val="center"/>
      </w:pPr>
      <w:bookmarkStart w:id="100011" w:name="_Toc100011"/>
      <w:r>
        <w:rPr>
          <w:rFonts w:ascii="Times New Roman" w:eastAsia="SimHei" w:hAnsi="Times New Roman"/>
          <w:b/>
          <w:bCs/>
          <w:color w:val="000000"/>
          <w:sz w:val="32"/>
          <w:szCs w:val="32"/>
        </w:rPr>
        <w:t xml:space="preserve">References</w:t>
      </w:r>
      <w:bookmarkEnd w:id="100011"/>
    </w:p>
    <w:p>
      <w:pPr>
        <w:spacing w:after="60" w:line="360"/>
        <w:ind w:left="420" w:hanging="420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[1] Repository wild8highlander/choptuik_ac_bc: einstein_direct/sympy_spectrum_tau_star.py; einstein_direct/results/spectrum_tau_star.json (campaign v11, LEDGER §22).</w:t>
      </w:r>
    </w:p>
    <w:p>
      <w:pPr>
        <w:spacing w:after="60" w:line="360"/>
        <w:ind w:left="420" w:hanging="420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[2] Ibid.: einstein_direct/sympy_spinor_corrections.py; einstein_direct/results/spinor_corrections.json (ring consistency, scheme audit).</w:t>
      </w:r>
    </w:p>
    <w:p>
      <w:pPr>
        <w:spacing w:after="60" w:line="360"/>
        <w:ind w:left="420" w:hanging="420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[3] Ibid.: einstein_direct/s4_berry_one_brick.py (Berry one-brick screening κ = 2 − π²/98).</w:t>
      </w:r>
    </w:p>
    <w:p>
      <w:pPr>
        <w:spacing w:after="60" w:line="360"/>
        <w:ind w:left="420" w:hanging="420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[4] Ibid.: einstein_direct/README.md §§1–3; einstein_direct/README_EN.md §22.</w:t>
      </w:r>
    </w:p>
    <w:p>
      <w:pPr>
        <w:spacing w:after="60" w:line="360"/>
        <w:ind w:left="420" w:hanging="420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[5] Monographs No. 1–2 and No. 8–10 of the theorems12 cycle.</w:t>
      </w:r>
    </w:p>
    <w:p>
      <w:pPr>
        <w:spacing w:after="60" w:line="360"/>
        <w:ind w:left="420" w:hanging="420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[6] M. W. Choptuik. Phys. Rev. Lett. 70, 9 (1993) — source of the γ_lit = 0.374 comparison anchor.</w:t>
      </w:r>
    </w:p>
    <w:sectPr>
      <w:headerReference w:type="default" r:id="rId10"/>
      <w:footerReference w:type="default" r:id="rId11"/>
      <w:type w:val="nextPage"/>
      <w:pgSz w:w="11906" w:h="16838" w:orient="portrait"/>
      <w:pgMar w:top="1440" w:right="1417" w:bottom="1440" w:left="1701" w:header="850" w:footer="992" w:gutter="0"/>
      <w:pgNumType w:start="1" w:fmt="decimal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eastAsia="SimSun" w:hAnsi="Times New Roman"/>
        <w:sz w:val="21"/>
        <w:szCs w:val="21"/>
      </w:rPr>
      <w:t xml:space="preserve">- </w:t>
    </w:r>
    <w:r>
      <w:rPr>
        <w:rFonts w:ascii="Times New Roman" w:eastAsia="SimSun" w:hAnsi="Times New Roman"/>
        <w:sz w:val="21"/>
        <w:szCs w:val="21"/>
      </w:rPr>
      <w:fldChar w:fldCharType="begin"/>
      <w:instrText xml:space="preserve"> PAGE \* ROMAN \* MERGEFORMAT </w:instrText>
      <w:fldChar w:fldCharType="separate"/>
      <w:fldChar w:fldCharType="end"/>
    </w:r>
    <w:r>
      <w:rPr>
        <w:rFonts w:ascii="Times New Roman" w:eastAsia="SimSun" w:hAnsi="Times New Roman"/>
        <w:sz w:val="21"/>
        <w:szCs w:val="21"/>
      </w:rPr>
      <w:t xml:space="preserve"> -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eastAsia="SimSun" w:hAnsi="Times New Roman"/>
        <w:sz w:val="21"/>
        <w:szCs w:val="21"/>
      </w:rPr>
      <w:t xml:space="preserve">- </w:t>
    </w:r>
    <w:r>
      <w:rPr>
        <w:rFonts w:ascii="Times New Roman" w:eastAsia="SimSun" w:hAnsi="Times New Roman"/>
        <w:sz w:val="21"/>
        <w:szCs w:val="21"/>
      </w:rPr>
      <w:fldChar w:fldCharType="begin"/>
      <w:instrText xml:space="preserve"> PAGE \* arabic \* MERGEFORMAT </w:instrText>
      <w:fldChar w:fldCharType="separate"/>
      <w:fldChar w:fldCharType="end"/>
    </w:r>
    <w:r>
      <w:rPr>
        <w:rFonts w:ascii="Times New Roman" w:eastAsia="SimSun" w:hAnsi="Times New Roman"/>
        <w:sz w:val="21"/>
        <w:szCs w:val="21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/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0000" w:sz="1"/>
      </w:pBdr>
      <w:spacing w:after="60"/>
      <w:jc w:val="center"/>
    </w:pPr>
    <w:r>
      <w:rPr>
        <w:rFonts w:ascii="Times New Roman" w:eastAsia="SimSun" w:hAnsi="Times New Roman"/>
        <w:color w:val="333333"/>
        <w:sz w:val="18"/>
        <w:szCs w:val="18"/>
      </w:rPr>
      <w:t xml:space="preserve">theorems12 · Monograph 07 · The Holonomy Theorem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0000" w:sz="1"/>
      </w:pBdr>
      <w:spacing w:after="60"/>
      <w:jc w:val="center"/>
    </w:pPr>
    <w:r>
      <w:rPr>
        <w:rFonts w:ascii="Times New Roman" w:eastAsia="SimSun" w:hAnsi="Times New Roman"/>
        <w:color w:val="333333"/>
        <w:sz w:val="18"/>
        <w:szCs w:val="18"/>
      </w:rPr>
      <w:t xml:space="preserve">theorems12 · Monograph 07 · The Holonomy Theorem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/>
        <w:color w:val="000000"/>
        <w:sz w:val="24"/>
        <w:szCs w:val="24"/>
      </w:rPr>
    </w:rPrDefault>
    <w:pPrDefault>
      <w:pPr>
        <w:spacing w:line="360"/>
      </w:pPr>
    </w:pPrDefault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360" w:before="480" w:line="360"/>
      <w:jc w:val="center"/>
      <w:outlineLvl w:val="0"/>
    </w:pPr>
    <w:rPr>
      <w:rFonts w:ascii="Times New Roman" w:eastAsia="SimHei" w:hAnsi="Times New Roman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240" w:before="360" w:line="360"/>
      <w:outlineLvl w:val="1"/>
    </w:pPr>
    <w:rPr>
      <w:rFonts w:ascii="Times New Roman" w:eastAsia="SimHei" w:hAnsi="Times New Roman"/>
      <w:b/>
      <w:bCs/>
      <w:color w:val="000000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40" w:line="360"/>
      <w:outlineLvl w:val="2"/>
    </w:pPr>
    <w:rPr>
      <w:rFonts w:ascii="Times New Roman" w:eastAsia="SimHei" w:hAnsi="Times New Roman"/>
      <w:b/>
      <w:bCs/>
      <w:color w:val="000000"/>
      <w:sz w:val="28"/>
      <w:szCs w:val="28"/>
    </w:rPr>
  </w:style>
  <w:style w:type="paragraph" w:styleId="Heading4">
    <w:pPr>
      <w:outlineLvl w:val="3"/>
    </w:pPr>
    <w:name w:val="Heading 4"/>
    <w:basedOn w:val="Normal"/>
    <w:next w:val="Normal"/>
    <w:qFormat/>
    <w:rPr>
      <w:i/>
      <w:iCs/>
      <w:color w:val="2E74B5"/>
    </w:rPr>
  </w:style>
  <w:style w:type="paragraph" w:styleId="Heading5">
    <w:pPr>
      <w:outlineLvl w:val="4"/>
    </w:pPr>
    <w:name w:val="Heading 5"/>
    <w:basedOn w:val="Normal"/>
    <w:next w:val="Normal"/>
    <w:qFormat/>
    <w:rPr>
      <w:color w:val="2E74B5"/>
    </w:rPr>
  </w:style>
  <w:style w:type="paragraph" w:styleId="Heading6">
    <w:pPr>
      <w:outlineLvl w:val="5"/>
    </w:pPr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xmlns:w="http://schemas.openxmlformats.org/wordprocessingml/2006/main" w:type="paragraph" w:styleId="9">
    <w:name w:val="toc 1"/>
    <w:basedOn w:val="Normal"/>
    <w:uiPriority w:val="39"/>
    <w:pPr>
      <w:tabs>
        <w:tab w:val="right" w:leader="dot" w:pos="9026"/>
      </w:tabs>
      <w:spacing w:before="120" w:after="60"/>
    </w:pPr>
    <w:rPr>
      <w:b/>
      <w:bCs/>
    </w:rPr>
  </w:style>
  <w:style xmlns:w="http://schemas.openxmlformats.org/wordprocessingml/2006/main" w:type="paragraph" w:styleId="11">
    <w:name w:val="toc 2"/>
    <w:basedOn w:val="Normal"/>
    <w:uiPriority w:val="39"/>
    <w:pPr>
      <w:tabs>
        <w:tab w:val="right" w:leader="dot" w:pos="9026"/>
      </w:tabs>
      <w:ind w:left="360"/>
      <w:spacing w:before="60" w:after="40"/>
    </w:pPr>
  </w:style>
  <w:style xmlns:w="http://schemas.openxmlformats.org/wordprocessingml/2006/main" w:type="paragraph" w:styleId="12">
    <w:name w:val="toc 3"/>
    <w:basedOn w:val="Normal"/>
    <w:uiPriority w:val="39"/>
    <w:pPr>
      <w:tabs>
        <w:tab w:val="right" w:leader="dot" w:pos="9026"/>
      </w:tabs>
      <w:ind w:left="720"/>
      <w:spacing w:before="40" w:after="20"/>
    </w:p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header" Target="header2.xml"/><Relationship Id="rId9" Type="http://schemas.openxmlformats.org/officeDocument/2006/relationships/footer" Target="footer2.xml"/><Relationship Id="rId10" Type="http://schemas.openxmlformats.org/officeDocument/2006/relationships/header" Target="header3.xml"/><Relationship Id="rId11" Type="http://schemas.openxmlformats.org/officeDocument/2006/relationships/footer" Target="footer3.xml"/><Relationship Id="rId12" Type="http://schemas.openxmlformats.org/officeDocument/2006/relationships/theme" Target="theme/theme1.xml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Holonomy Theorem: Admissibility and the Exact Corrected Family τ*(κ) = 27/(2κ)</dc:title>
  <dc:creator>Ishak Khamzatovich Isaev (wild8highlander)</dc:creator>
  <dc:description>theorems12 monograph series</dc:description>
  <cp:lastModifiedBy>Un-named</cp:lastModifiedBy>
  <cp:revision>1</cp:revision>
  <dcterms:created xsi:type="dcterms:W3CDTF">2026-09-29T16:31:50.904Z</dcterms:created>
  <dcterms:modified xsi:type="dcterms:W3CDTF">2026-09-29T16:31:50.904Z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