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before="4600"/>
      </w:pPr>
    </w:p>
    <w:p>
      <w:pPr>
        <w:spacing w:after="360" w:line="312" w:lineRule="auto"/>
        <w:jc w:val="center"/>
      </w:pPr>
      <w:r>
        <w:rPr>
          <w:rFonts w:ascii="Times New Roman" w:hAnsi="Times New Roman" w:eastAsia="SimSun"/>
          <w:b w:val="0"/>
          <w:i w:val="0"/>
          <w:sz w:val="16"/>
        </w:rPr>
        <w:t>choptuik_ac_bc · theorems12 · github.com/wild8highlander/choptuik_ac_bc</w:t>
      </w:r>
    </w:p>
    <w:p>
      <w:pPr>
        <w:spacing w:after="0" w:line="300" w:lineRule="auto"/>
        <w:jc w:val="center"/>
      </w:pPr>
      <w:r>
        <w:rPr>
          <w:rFonts w:ascii="Times New Roman" w:hAnsi="Times New Roman" w:eastAsia="SimSun"/>
          <w:b/>
          <w:i w:val="0"/>
          <w:sz w:val="34"/>
        </w:rPr>
        <w:t>The Spinor-Corrections</w:t>
      </w:r>
    </w:p>
    <w:p>
      <w:pPr>
        <w:spacing w:after="0" w:line="300" w:lineRule="auto"/>
        <w:jc w:val="center"/>
      </w:pPr>
      <w:r>
        <w:rPr>
          <w:rFonts w:ascii="Times New Roman" w:hAnsi="Times New Roman" w:eastAsia="SimSun"/>
          <w:b/>
          <w:i w:val="0"/>
          <w:sz w:val="34"/>
        </w:rPr>
        <w:t>Theorem: exact quanta</w:t>
      </w:r>
    </w:p>
    <w:p>
      <w:pPr>
        <w:spacing w:after="200" w:line="300" w:lineRule="auto"/>
        <w:jc w:val="center"/>
      </w:pPr>
      <w:r>
        <w:rPr>
          <w:rFonts w:ascii="Times New Roman" w:hAnsi="Times New Roman" w:eastAsia="SimSun"/>
          <w:b/>
          <w:i w:val="0"/>
          <w:sz w:val="34"/>
        </w:rPr>
        <w:t>bC = π²/98 and aC = π⁵/369754</w:t>
      </w:r>
    </w:p>
    <w:p>
      <w:pPr>
        <w:spacing w:after="0" w:line="312" w:lineRule="auto"/>
        <w:jc w:val="center"/>
      </w:pPr>
      <w:r>
        <w:rPr>
          <w:rFonts w:ascii="Times New Roman" w:hAnsi="Times New Roman" w:eastAsia="SimSun"/>
          <w:b w:val="0"/>
          <w:i w:val="0"/>
          <w:sz w:val="13"/>
        </w:rPr>
        <w:t>No κ-leaks in the geometry · diagonal holonomy or dead · phantom hits ≤ 3.10% of kπ/30</w:t>
      </w:r>
    </w:p>
    <w:p>
      <w:pPr>
        <w:spacing w:before="800" w:after="0" w:line="240" w:lineRule="auto"/>
      </w:pPr>
    </w:p>
    <w:tbl>
      <w:tblPr>
        <w:tblW w:type="auto" w:w="0"/>
        <w:jc w:val="center"/>
        <w:tblLayout w:type="fixed"/>
        <w:tblLook w:firstColumn="1" w:firstRow="1" w:lastColumn="0" w:lastRow="0" w:noHBand="0" w:noVBand="1" w:val="04A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52"/>
        <w:gridCol w:w="4252"/>
      </w:tblGrid>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Author:</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Isahk Khamzatovich Isaev</w:t>
            </w:r>
          </w:p>
        </w:tc>
      </w:tr>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Series:</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Monograph No. 13 of the theorems12 cycle (supplementary series)</w:t>
            </w:r>
          </w:p>
        </w:tc>
      </w:tr>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Machine:</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sympy_spinor_corrections.py · SymPy, exact</w:t>
            </w:r>
          </w:p>
        </w:tc>
      </w:tr>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Verdict:</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einstein_direct/results/spinor_corrections.json</w:t>
            </w:r>
          </w:p>
        </w:tc>
      </w:tr>
      <w:tr>
        <w:tc>
          <w:tcPr>
            <w:tcW w:type="dxa" w:w="4252"/>
            <w:tcW w:type="pct" w:w="1250"/>
            <w:tcMar>
              <w:top w:type="dxa" w:w="60"/>
              <w:left w:type="dxa" w:w="0"/>
              <w:bottom w:type="dxa" w:w="60"/>
              <w:right w:type="dxa" w:w="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4"/>
              </w:rPr>
              <w:t>Status:</w:t>
            </w:r>
          </w:p>
        </w:tc>
        <w:tc>
          <w:tcPr>
            <w:tcW w:type="dxa" w:w="4252"/>
            <w:tcW w:type="pct" w:w="3750"/>
            <w:tcMar>
              <w:top w:type="dxa" w:w="60"/>
              <w:left w:type="dxa" w:w="80"/>
              <w:bottom w:type="dxa" w:w="60"/>
              <w:right w:type="dxa" w:w="0"/>
            </w:tcMar>
            <w:tcBorders>
              <w:top w:val="none" w:color="FFFFFF" w:sz="0"/>
              <w:left w:val="none" w:color="FFFFFF" w:sz="0"/>
              <w:right w:val="none" w:color="FFFFFF" w:sz="0"/>
              <w:bottom w:val="single" w:color="000000" w:sz="4"/>
            </w:tcBorders>
          </w:tcPr>
          <w:p>
            <w:pPr>
              <w:spacing w:line="360" w:lineRule="auto" w:before="0" w:after="0"/>
              <w:jc w:val="left"/>
            </w:pPr>
            <w:r/>
            <w:r>
              <w:rPr>
                <w:rFonts w:ascii="Times New Roman" w:hAnsi="Times New Roman" w:eastAsia="SimSun"/>
                <w:b w:val="0"/>
                <w:i w:val="0"/>
                <w:sz w:val="24"/>
              </w:rPr>
              <w:t>PROVED EXACTLY (S0–S4 layers, 12 equations)</w:t>
            </w:r>
          </w:p>
        </w:tc>
      </w:tr>
    </w:tbl>
    <w:p>
      <w:pPr>
        <w:spacing w:before="520" w:after="0" w:line="240" w:lineRule="auto"/>
      </w:pPr>
    </w:p>
    <w:p>
      <w:pPr>
        <w:spacing w:line="312" w:lineRule="auto"/>
        <w:jc w:val="center"/>
      </w:pPr>
      <w:r>
        <w:rPr>
          <w:rFonts w:ascii="Times New Roman" w:hAnsi="Times New Roman" w:eastAsia="SimSun"/>
          <w:b w:val="0"/>
          <w:i w:val="0"/>
          <w:sz w:val="16"/>
        </w:rPr>
        <w:t>2026 · Isaev Proprietary License · folder theorems12</w:t>
      </w:r>
    </w:p>
    <w:p>
      <w:pPr>
        <w:sectPr>
          <w:pgSz w:w="11906" w:h="16838"/>
          <w:pgMar w:top="0" w:right="1701" w:bottom="0" w:left="1701" w:header="708" w:footer="708" w:gutter="0"/>
          <w:cols w:space="720"/>
          <w:docGrid w:linePitch="360"/>
        </w:sectPr>
      </w:pPr>
    </w:p>
    <w:p>
      <w:pPr>
        <w:spacing w:before="240" w:after="360" w:line="360" w:lineRule="auto"/>
        <w:jc w:val="center"/>
      </w:pPr>
      <w:r>
        <w:rPr>
          <w:rFonts w:ascii="Times New Roman" w:hAnsi="Times New Roman" w:eastAsia="SimHei"/>
          <w:b/>
          <w:i w:val="0"/>
          <w:sz w:val="32"/>
        </w:rPr>
        <w:t>Abstract</w:t>
      </w:r>
    </w:p>
    <w:p>
      <w:pPr>
        <w:spacing w:after="120" w:line="360" w:lineRule="auto"/>
        <w:jc w:val="both"/>
      </w:pPr>
      <w:r>
        <w:rPr>
          <w:rFonts w:ascii="Times New Roman" w:hAnsi="Times New Roman" w:eastAsia="SimSun"/>
          <w:b w:val="0"/>
          <w:i w:val="0"/>
          <w:sz w:val="24"/>
        </w:rPr>
        <w:t>This supplementary monograph records the spinor-corrections theorem: the three repo corrections (bC, aC, aB) embedded into the corrected tower as natural coupling renormalizations are exact rational functions of π — the Berry quanta bA = π²/8, bB = π²/18, bC = π²/98 and the braking quanta aA = π⁵/704, aB = π⁵/5346, aC = π⁵/369754 — and the repo crosscheck closes at machine zero: Δ_bC − λ_D² = bC (status OK), δ_eff = aC (absdiff 1.08×10⁻¹⁹), γ = δ_C⁴/22 (absdiff 4.34×10⁻¹⁹).</w:t>
      </w:r>
    </w:p>
    <w:p>
      <w:pPr>
        <w:spacing w:after="120" w:line="360" w:lineRule="auto"/>
        <w:jc w:val="both"/>
      </w:pPr>
      <w:r>
        <w:rPr>
          <w:rFonts w:ascii="Times New Roman" w:hAnsi="Times New Roman" w:eastAsia="SimSun"/>
          <w:b w:val="0"/>
          <w:i w:val="0"/>
          <w:sz w:val="24"/>
        </w:rPr>
        <w:t>The geometry carries no κ-leaks: the SC/UV/Mdef doors are κ-free, and the C1-ring residues vanish only at κ_C1 = κ_C2 — the holonomy correction must be diagonal. Of the twelve embedding schemes ten keep the CSS point alive; the phantom spectrum hits the spinor ladder kπ/30 no closer than 2.60–3.10% in all three pencil schemes. Tables of the layers S0–S4, corollaries, honest caveats and the reproduction protocol are included.</w:t>
      </w:r>
    </w:p>
    <w:p>
      <w:pPr>
        <w:spacing w:after="40" w:line="360" w:lineRule="auto"/>
      </w:pPr>
    </w:p>
    <w:p>
      <w:pPr>
        <w:spacing w:after="0" w:line="360" w:lineRule="auto"/>
        <w:jc w:val="both"/>
      </w:pPr>
      <w:r>
        <w:rPr>
          <w:rFonts w:ascii="Times New Roman" w:hAnsi="Times New Roman" w:eastAsia="SimSun"/>
          <w:b/>
          <w:i w:val="0"/>
          <w:sz w:val="24"/>
        </w:rPr>
        <w:t xml:space="preserve">Keywords: </w:t>
      </w:r>
      <w:r>
        <w:rPr>
          <w:rFonts w:ascii="Times New Roman" w:hAnsi="Times New Roman" w:eastAsia="SimSun"/>
          <w:b w:val="0"/>
          <w:i w:val="0"/>
          <w:sz w:val="24"/>
        </w:rPr>
        <w:t>spinor corrections, bC = π²/98, aC = π⁵/369754, screening-off, diagonal holonomy, kπ/30 ladder, SymPy, machine theorem.</w:t>
      </w:r>
    </w:p>
    <w:p>
      <w:pPr>
        <w:spacing w:after="0" w:line="240" w:lineRule="auto"/>
      </w:pPr>
      <w:r>
        <w:br w:type="page"/>
      </w:r>
    </w:p>
    <w:p>
      <w:pPr>
        <w:spacing w:before="480" w:after="360" w:line="360" w:lineRule="auto"/>
        <w:jc w:val="center"/>
      </w:pPr>
      <w:r>
        <w:rPr>
          <w:rFonts w:ascii="Times New Roman" w:hAnsi="Times New Roman" w:eastAsia="SimHei"/>
          <w:b/>
          <w:i w:val="0"/>
          <w:sz w:val="32"/>
        </w:rPr>
        <w:t>Table of Contents</w:t>
      </w:r>
    </w:p>
    <w:p>
      <w:pPr>
        <w:spacing w:before="60" w:after="60" w:line="276" w:lineRule="auto"/>
        <w:tabs>
          <w:tab w:val="right" w:leader="dot" w:pos="9026"/>
        </w:tabs>
      </w:pPr>
      <w:r>
        <w:rPr>
          <w:rFonts w:ascii="Times New Roman" w:hAnsi="Times New Roman" w:eastAsia="SimSun"/>
          <w:b/>
          <w:i w:val="0"/>
          <w:sz w:val="24"/>
        </w:rPr>
        <w:t>1. Introduction</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_Toc100001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2. Notation and Setting</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_Toc100002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3. Statement of the Theorem</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_Toc100003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4. Sketch of the Machine Proof</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_Toc100004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5. Numerical Results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_Toc100005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6. Corollaries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_Toc100006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7. Honest Caveats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_Toc100007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8. Reproducibility</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_Toc100008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60" w:after="60" w:line="276" w:lineRule="auto"/>
        <w:tabs>
          <w:tab w:val="right" w:leader="dot" w:pos="9026"/>
        </w:tabs>
      </w:pPr>
      <w:r>
        <w:rPr>
          <w:rFonts w:ascii="Times New Roman" w:hAnsi="Times New Roman" w:eastAsia="SimSun"/>
          <w:b/>
          <w:i w:val="0"/>
          <w:sz w:val="24"/>
        </w:rPr>
        <w:t>References</w:t>
      </w:r>
      <w:r>
        <w:tab/>
      </w:r>
      <w:r>
        <w:rPr>
          <w:rFonts w:ascii="Times New Roman" w:hAnsi="Times New Roman" w:eastAsia="SimSun"/>
          <w:b w:val="0"/>
          <w:i w:val="0"/>
          <w:sz w:val="24"/>
        </w:rPr>
        <w:fldChar w:fldCharType="begin"/>
      </w:r>
      <w:r>
        <w:rPr>
          <w:rFonts w:ascii="Times New Roman" w:hAnsi="Times New Roman" w:eastAsia="SimSun"/>
          <w:b w:val="0"/>
          <w:i w:val="0"/>
          <w:sz w:val="24"/>
        </w:rPr>
        <w:instrText xml:space="preserve"> PAGEREF _Toc100009 \h </w:instrText>
      </w:r>
      <w:r>
        <w:rPr>
          <w:rFonts w:ascii="Times New Roman" w:hAnsi="Times New Roman" w:eastAsia="SimSun"/>
          <w:b w:val="0"/>
          <w:i w:val="0"/>
          <w:sz w:val="24"/>
        </w:rPr>
        <w:fldChar w:fldCharType="separate"/>
      </w:r>
      <w:r>
        <w:rPr>
          <w:rFonts w:ascii="Times New Roman" w:hAnsi="Times New Roman" w:eastAsia="SimSun"/>
          <w:b w:val="0"/>
          <w:i w:val="0"/>
          <w:sz w:val="24"/>
        </w:rPr>
        <w:t>2</w:t>
      </w:r>
      <w:r>
        <w:rPr>
          <w:rFonts w:ascii="Times New Roman" w:hAnsi="Times New Roman" w:eastAsia="SimSun"/>
          <w:b w:val="0"/>
          <w:i w:val="0"/>
          <w:sz w:val="24"/>
        </w:rPr>
        <w:fldChar w:fldCharType="end"/>
      </w:r>
    </w:p>
    <w:p>
      <w:pPr>
        <w:spacing w:before="200" w:after="0" w:line="312" w:lineRule="auto"/>
      </w:pPr>
      <w:r>
        <w:rPr>
          <w:rFonts w:ascii="Times New Roman" w:hAnsi="Times New Roman" w:eastAsia="SimSun"/>
          <w:b w:val="0"/>
          <w:i/>
          <w:color w:val="888888"/>
          <w:sz w:val="18"/>
        </w:rPr>
        <w:t>Note: the Table of Contents is generated via field codes. After editing, refresh the page numbers: right-click the TOC and select “Update Field”.</w:t>
      </w:r>
    </w:p>
    <w:p>
      <w:pPr>
        <w:sectPr>
          <w:headerReference w:type="default" r:id="rId9"/>
          <w:footerReference w:type="default" r:id="rId10"/>
          <w:pgSz w:w="11906" w:h="16838"/>
          <w:pgMar w:top="1440" w:right="1417" w:bottom="1440" w:left="1701" w:header="850" w:footer="992" w:gutter="0"/>
          <w:cols w:space="720"/>
          <w:docGrid w:linePitch="360"/>
          <w:pgNumType w:fmt="upperRoman" w:start="1"/>
        </w:sectPr>
      </w:pPr>
    </w:p>
    <w:p>
      <w:pPr>
        <w:keepNext/>
        <w:spacing w:before="480" w:after="360" w:line="360" w:lineRule="auto"/>
        <w:jc w:val="center"/>
      </w:pPr>
      <w:r>
        <w:rPr>
          <w:rFonts w:ascii="Times New Roman" w:hAnsi="Times New Roman" w:eastAsia="SimHei"/>
          <w:b/>
          <w:i w:val="0"/>
          <w:sz w:val="32"/>
        </w:rPr>
        <w:t>1. Introduction</w:t>
      </w:r>
      <w:bookmarkStart w:id="100" w:name="_Toc100001"/>
      <w:bookmarkEnd w:id="100"/>
    </w:p>
    <w:p>
      <w:pPr>
        <w:spacing w:after="120" w:line="360" w:lineRule="auto"/>
        <w:jc w:val="both"/>
      </w:pPr>
      <w:r>
        <w:rPr>
          <w:rFonts w:ascii="Times New Roman" w:hAnsi="Times New Roman" w:eastAsia="SimSun"/>
          <w:b w:val="0"/>
          <w:i w:val="0"/>
          <w:sz w:val="24"/>
        </w:rPr>
        <w:t>This supplementary monograph of the theorems12 cycle records the spinor-corrections theorem — the machine result of the S0–S4 campaign (machine sympy_spinor_corrections.py, verdict spinor_corrections.json, LEDGER §22). The campaign embedded the three repo corrections bC (Berry), aC (braking) and aB into the towers as natural coupling renormalizations and asked whether they correct the towers and close on π/30.</w:t>
      </w:r>
    </w:p>
    <w:p>
      <w:pPr>
        <w:spacing w:after="120" w:line="360" w:lineRule="auto"/>
        <w:jc w:val="both"/>
      </w:pPr>
      <w:r>
        <w:rPr>
          <w:rFonts w:ascii="Times New Roman" w:hAnsi="Times New Roman" w:eastAsia="SimSun"/>
          <w:b w:val="0"/>
          <w:i w:val="0"/>
          <w:sz w:val="24"/>
        </w:rPr>
        <w:t>The answer has three parts. First, the corrections themselves are exact: every quantum is a rational function of π, and the repo's own cross-identities (Δ_bC − λ_D² = bC, δ_eff = aC, γ = δ_C⁴/22) close at 10⁻¹⁹ — the embedding is consistent with the stored constants. Second, the geometry admits the corrections only in diagonal form: the κ-free doors audit shows no leaks, and the C1-ring consistency forces κ_C1 = κ_C2 (diagonal or dead). Third, at the linear level the corrections do not manufacture the spinor clock: the phantom spectrum approaches the kπ/30 ladder only to 2.60–3.10%, so the screening-off verdict stands — the corrections renormalize, they do not select.</w:t>
      </w:r>
    </w:p>
    <w:p>
      <w:pPr>
        <w:keepNext/>
        <w:spacing w:before="480" w:after="360" w:line="360" w:lineRule="auto"/>
        <w:jc w:val="center"/>
      </w:pPr>
      <w:r>
        <w:rPr>
          <w:rFonts w:ascii="Times New Roman" w:hAnsi="Times New Roman" w:eastAsia="SimHei"/>
          <w:b/>
          <w:i w:val="0"/>
          <w:sz w:val="32"/>
        </w:rPr>
        <w:t>2. Notation and Setting</w:t>
      </w:r>
      <w:bookmarkStart w:id="101" w:name="_Toc100002"/>
      <w:bookmarkEnd w:id="101"/>
    </w:p>
    <w:p>
      <w:pPr>
        <w:spacing w:after="120" w:line="360" w:lineRule="auto"/>
        <w:jc w:val="both"/>
      </w:pPr>
      <w:r>
        <w:rPr>
          <w:rFonts w:ascii="Times New Roman" w:hAnsi="Times New Roman" w:eastAsia="SimSun"/>
          <w:b w:val="0"/>
          <w:i w:val="0"/>
          <w:sz w:val="24"/>
        </w:rPr>
        <w:t>The three corrections act on the angles δ_A = π/2, δ_B = π/3, δ_C = π/7 (the A/B/C spinor sectors). Each sector carries a Berry quantum b and a braking quantum a; the repo corrections are the C-sector pair (bC, aC) together with the B-sector pair (bB, aB) used in the baryon-asymmetry reading. The corrected tower books acquire the factors (1 ± bC ∓ aC) in the pencil schemes; the baseline scheme S0 runs without corrections.</w:t>
      </w:r>
    </w:p>
    <w:p>
      <w:pPr>
        <w:keepNext/>
        <w:spacing w:before="200" w:after="60" w:line="360" w:lineRule="auto"/>
        <w:jc w:val="center"/>
      </w:pPr>
      <w:r>
        <w:rPr>
          <w:rFonts w:ascii="Times New Roman" w:hAnsi="Times New Roman" w:eastAsia="SimSun"/>
          <w:b w:val="0"/>
          <w:i w:val="0"/>
          <w:sz w:val="21"/>
        </w:rPr>
        <w:t>Table 13.1. The exact spinor quanta (S0 layer)</w:t>
      </w:r>
    </w:p>
    <w:tbl>
      <w:tblPr>
        <w:tblW w:type="auto" w:w="0"/>
        <w:jc w:val="center"/>
        <w:tblLayout w:type="fixed"/>
        <w:tblLook w:firstColumn="1" w:firstRow="1" w:lastColumn="0" w:lastRow="0" w:noHBand="0" w:noVBand="1" w:val="04A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929"/>
        <w:gridCol w:w="2929"/>
        <w:gridCol w:w="2929"/>
      </w:tblGrid>
      <w:tr>
        <w:trPr>
          <w:cantSplit/>
          <w:tblHeader/>
        </w:trPr>
        <w:tc>
          <w:tcPr>
            <w:tcW w:type="dxa" w:w="2929"/>
            <w:tcW w:type="pct" w:w="15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Sector</w:t>
            </w:r>
          </w:p>
        </w:tc>
        <w:tc>
          <w:tcPr>
            <w:tcW w:type="dxa" w:w="2929"/>
            <w:tcW w:type="pct" w:w="20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Berry quantum b</w:t>
            </w:r>
          </w:p>
        </w:tc>
        <w:tc>
          <w:tcPr>
            <w:tcW w:type="dxa" w:w="2929"/>
            <w:tcW w:type="pct" w:w="15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Braking quantum a</w:t>
            </w:r>
          </w:p>
        </w:tc>
      </w:tr>
      <w:tr>
        <w:tc>
          <w:tcPr>
            <w:tcW w:type="dxa" w:w="2929"/>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A (δ_A = π/2)</w:t>
            </w:r>
          </w:p>
        </w:tc>
        <w:tc>
          <w:tcPr>
            <w:tcW w:type="dxa" w:w="2929"/>
            <w:tcW w:type="pct" w:w="20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π²/8 = 1.2337005501</w:t>
            </w:r>
          </w:p>
        </w:tc>
        <w:tc>
          <w:tcPr>
            <w:tcW w:type="dxa" w:w="2929"/>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π⁵/704 = 0.4346870523</w:t>
            </w:r>
          </w:p>
        </w:tc>
      </w:tr>
      <w:tr>
        <w:tc>
          <w:tcPr>
            <w:tcW w:type="dxa" w:w="2929"/>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B (δ_B = π/3)</w:t>
            </w:r>
          </w:p>
        </w:tc>
        <w:tc>
          <w:tcPr>
            <w:tcW w:type="dxa" w:w="2929"/>
            <w:tcW w:type="pct" w:w="20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π²/18 = 0.5483113556</w:t>
            </w:r>
          </w:p>
        </w:tc>
        <w:tc>
          <w:tcPr>
            <w:tcW w:type="dxa" w:w="2929"/>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π⁵/5346 = 0.0572427394</w:t>
            </w:r>
          </w:p>
        </w:tc>
      </w:tr>
      <w:tr>
        <w:tc>
          <w:tcPr>
            <w:tcW w:type="dxa" w:w="2929"/>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C (δ_C = π/7)</w:t>
            </w:r>
          </w:p>
        </w:tc>
        <w:tc>
          <w:tcPr>
            <w:tcW w:type="dxa" w:w="2929"/>
            <w:tcW w:type="pct" w:w="20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π²/98 = 0.1007102490</w:t>
            </w:r>
          </w:p>
        </w:tc>
        <w:tc>
          <w:tcPr>
            <w:tcW w:type="dxa" w:w="2929"/>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π⁵/369754 = 0.0008276305</w:t>
            </w:r>
          </w:p>
        </w:tc>
      </w:tr>
    </w:tbl>
    <w:p>
      <w:pPr>
        <w:spacing w:after="120" w:line="360" w:lineRule="auto"/>
      </w:pPr>
    </w:p>
    <w:p>
      <w:pPr>
        <w:spacing w:after="120" w:line="360" w:lineRule="auto"/>
        <w:jc w:val="both"/>
      </w:pPr>
      <w:r>
        <w:rPr>
          <w:rFonts w:ascii="Times New Roman" w:hAnsi="Times New Roman" w:eastAsia="SimSun"/>
          <w:b w:val="0"/>
          <w:i w:val="0"/>
          <w:sz w:val="24"/>
        </w:rPr>
        <w:t>The setting: verify the repo cross-identities at machine zero (S0), audit the κ-doors of the twelve-equation chain (S1), test the embedding schemes (S2), and measure the phantom spectrum of the corrected pencils against the spinor ladder kπ/30 (S4).</w:t>
      </w:r>
    </w:p>
    <w:p>
      <w:pPr>
        <w:keepNext/>
        <w:spacing w:before="480" w:after="360" w:line="360" w:lineRule="auto"/>
        <w:jc w:val="center"/>
      </w:pPr>
      <w:r>
        <w:rPr>
          <w:rFonts w:ascii="Times New Roman" w:hAnsi="Times New Roman" w:eastAsia="SimHei"/>
          <w:b/>
          <w:i w:val="0"/>
          <w:sz w:val="32"/>
        </w:rPr>
        <w:t>3. Statement of the Theorem</w:t>
      </w:r>
      <w:bookmarkStart w:id="102" w:name="_Toc100003"/>
      <w:bookmarkEnd w:id="102"/>
    </w:p>
    <w:p>
      <w:pPr>
        <w:spacing w:after="120" w:line="360" w:lineRule="auto"/>
        <w:jc w:val="both"/>
      </w:pPr>
      <w:r>
        <w:rPr>
          <w:rFonts w:ascii="Times New Roman" w:hAnsi="Times New Roman" w:eastAsia="SimSun"/>
          <w:b w:val="0"/>
          <w:i w:val="0"/>
          <w:sz w:val="24"/>
        </w:rPr>
        <w:t>Theorem 13 (spinor corrections). Let the corrected tower be embedded with the repo corrections (bC, aC, aB). Then:</w:t>
      </w:r>
    </w:p>
    <w:p>
      <w:pPr>
        <w:spacing w:after="120" w:line="360" w:lineRule="auto"/>
        <w:jc w:val="both"/>
      </w:pPr>
      <w:r>
        <w:rPr>
          <w:rFonts w:ascii="Times New Roman" w:hAnsi="Times New Roman" w:eastAsia="SimSun"/>
          <w:b w:val="0"/>
          <w:i w:val="0"/>
          <w:sz w:val="24"/>
        </w:rPr>
        <w:t>(i) the quanta are exact: bA = π²/8, bB = π²/18, bC = π²/98, aA = π⁵/704, aB = π⁵/5346, aC = π⁵/369754; the repo cross-identities Δ_bC − λ_D² = bC, δ_eff = aC and γ = δ_C⁴/22 hold to ≤ 4.34×10⁻¹⁹ (S0 crosscheck status OK);</w:t>
      </w:r>
    </w:p>
    <w:p>
      <w:pPr>
        <w:spacing w:after="120" w:line="360" w:lineRule="auto"/>
        <w:jc w:val="both"/>
      </w:pPr>
      <w:r>
        <w:rPr>
          <w:rFonts w:ascii="Times New Roman" w:hAnsi="Times New Roman" w:eastAsia="SimSun"/>
          <w:b w:val="0"/>
          <w:i w:val="0"/>
          <w:sz w:val="24"/>
        </w:rPr>
        <w:t>(ii) the geometry is κ-clean: the SC/UV/Mdef doors carry no κ (κ_leaks_in_geometry = []), the C1-ring residues factorize as R1hT0h²(K1 − K2)/2, −R1hT0h²(K1 − K2)/3 and R1hT0h²(K1 − K2)(K2T0h² + 7)/18 and vanish exactly at κ_C1 = κ_C2 — the holonomy correction is admissible only diagonally;</w:t>
      </w:r>
    </w:p>
    <w:p>
      <w:pPr>
        <w:spacing w:after="120" w:line="360" w:lineRule="auto"/>
        <w:jc w:val="both"/>
      </w:pPr>
      <w:r>
        <w:rPr>
          <w:rFonts w:ascii="Times New Roman" w:hAnsi="Times New Roman" w:eastAsia="SimSun"/>
          <w:b w:val="0"/>
          <w:i w:val="0"/>
          <w:sz w:val="24"/>
        </w:rPr>
        <w:t>(iii) on the surviving diagonal branch the pair (UV_ξ3, Mdef_ξ5) reduces to branches −2T0h²(8κ²T0h² − 93κ − 15KT) and −2T0h²(4κ²T0h² − 39κ − 15KT) with resultant 0 and GCD 2T0h²; the uniform clock family of the embedding schemes is τ*(κ) = 27/(2κ) exactly (uniform_family_is_27_over_2kappa = true);</w:t>
      </w:r>
    </w:p>
    <w:p>
      <w:pPr>
        <w:spacing w:after="120" w:line="360" w:lineRule="auto"/>
        <w:jc w:val="both"/>
      </w:pPr>
      <w:r>
        <w:rPr>
          <w:rFonts w:ascii="Times New Roman" w:hAnsi="Times New Roman" w:eastAsia="SimSun"/>
          <w:b w:val="0"/>
          <w:i w:val="0"/>
          <w:sz w:val="24"/>
        </w:rPr>
        <w:t>(iv) of the twelve schemes ten keep the point alive and two are dead by construction (the family scheme and the violation demo); the phantom spectrum of the three pencil schemes hits the ladder kπ/30 no closer than: baseline Im λ = 0.10797 ≈ π/30 (3.10%), H_mono (1 + bC − aC) Im λ = 0.91564 ≈ 9π/30 (2.85%), H_screen (1 − bC + aC) Im λ = 0.10745 ≈ π/30 (2.60%) — the corrections do not manufacture the spinor clock at the linear level (screening-off).</w:t>
      </w:r>
    </w:p>
    <w:p>
      <w:pPr>
        <w:keepNext/>
        <w:spacing w:before="480" w:after="360" w:line="360" w:lineRule="auto"/>
        <w:jc w:val="center"/>
      </w:pPr>
      <w:r>
        <w:rPr>
          <w:rFonts w:ascii="Times New Roman" w:hAnsi="Times New Roman" w:eastAsia="SimHei"/>
          <w:b/>
          <w:i w:val="0"/>
          <w:sz w:val="32"/>
        </w:rPr>
        <w:t>4. Sketch of the Machine Proof</w:t>
      </w:r>
      <w:bookmarkStart w:id="103" w:name="_Toc100004"/>
      <w:bookmarkEnd w:id="103"/>
    </w:p>
    <w:p>
      <w:pPr>
        <w:spacing w:after="120" w:line="360" w:lineRule="auto"/>
        <w:jc w:val="both"/>
      </w:pPr>
      <w:r>
        <w:rPr>
          <w:rFonts w:ascii="Times New Roman" w:hAnsi="Times New Roman" w:eastAsia="SimSun"/>
          <w:b w:val="0"/>
          <w:i w:val="0"/>
          <w:sz w:val="24"/>
        </w:rPr>
        <w:t>Layer S0 computes the quanta symbolically from the beta/alpha functions β = d²/2, α = d⁵/22 (k = b2(K3) = 22) at the three sector angles and cross-checks the repo's stored identities in 50-digit arithmetic. Layer S1 substitutes the corrected chain forms into the twelve equations; the door map shows SC/UV/Mdef carry no κ, and the C1 group factorizes by (κ_C1 − κ_C2) — a polynomial computation in Q(κ_C1, κ_C2, κ_TH). Layer S2 solves the family conditions and finds the common root condition 15(κ − KT)/(8κ²); ten schemes survive the point-survival test.</w:t>
      </w:r>
    </w:p>
    <w:p>
      <w:pPr>
        <w:spacing w:after="120" w:line="360" w:lineRule="auto"/>
        <w:jc w:val="both"/>
      </w:pPr>
      <w:r>
        <w:rPr>
          <w:rFonts w:ascii="Times New Roman" w:hAnsi="Times New Roman" w:eastAsia="SimSun"/>
          <w:b w:val="0"/>
          <w:i w:val="0"/>
          <w:sz w:val="24"/>
        </w:rPr>
        <w:t>Layer S4 builds the quadratic eigenvalue problem of each pencil scheme at its clock point, filters genuine roots from phantoms by the relative σ_min test (machine zero ≈ 10⁻⁹ for genuine, ≥ 10⁻⁵ for phantoms), and measures the distance of the best phantom hit to the ladder kπ/30. The machine runs 10.9 s (runtime_s); all layers are deterministic and offline.</w:t>
      </w:r>
    </w:p>
    <w:p>
      <w:pPr>
        <w:keepNext/>
        <w:spacing w:before="200" w:after="60" w:line="360" w:lineRule="auto"/>
        <w:jc w:val="center"/>
      </w:pPr>
      <w:r>
        <w:rPr>
          <w:rFonts w:ascii="Times New Roman" w:hAnsi="Times New Roman" w:eastAsia="SimSun"/>
          <w:b w:val="0"/>
          <w:i w:val="0"/>
          <w:sz w:val="21"/>
        </w:rPr>
        <w:t>Table 13.2. Layers of the verdict spinor_corrections.json</w:t>
      </w:r>
    </w:p>
    <w:tbl>
      <w:tblPr>
        <w:tblW w:type="auto" w:w="0"/>
        <w:jc w:val="center"/>
        <w:tblLayout w:type="fixed"/>
        <w:tblLook w:firstColumn="1" w:firstRow="1" w:lastColumn="0" w:lastRow="0" w:noHBand="0" w:noVBand="1" w:val="04A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929"/>
        <w:gridCol w:w="2929"/>
        <w:gridCol w:w="2929"/>
      </w:tblGrid>
      <w:tr>
        <w:trPr>
          <w:cantSplit/>
          <w:tblHeader/>
        </w:trPr>
        <w:tc>
          <w:tcPr>
            <w:tcW w:type="dxa" w:w="2929"/>
            <w:tcW w:type="pct" w:w="14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Layer</w:t>
            </w:r>
          </w:p>
        </w:tc>
        <w:tc>
          <w:tcPr>
            <w:tcW w:type="dxa" w:w="2929"/>
            <w:tcW w:type="pct" w:w="30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Statement</w:t>
            </w:r>
          </w:p>
        </w:tc>
        <w:tc>
          <w:tcPr>
            <w:tcW w:type="dxa" w:w="2929"/>
            <w:tcW w:type="pct" w:w="16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Status</w:t>
            </w:r>
          </w:p>
        </w:tc>
      </w:tr>
      <w:tr>
        <w:tc>
          <w:tcPr>
            <w:tcW w:type="dxa" w:w="2929"/>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S0 quanta</w:t>
            </w:r>
          </w:p>
        </w:tc>
        <w:tc>
          <w:tcPr>
            <w:tcW w:type="dxa" w:w="2929"/>
            <w:tcW w:type="pct" w:w="30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bC = π²/98, aC = π⁵/369754; repo identities close at 10⁻¹⁹</w:t>
            </w:r>
          </w:p>
        </w:tc>
        <w:tc>
          <w:tcPr>
            <w:tcW w:type="dxa" w:w="2929"/>
            <w:tcW w:type="pct" w:w="1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exact + 50 digits</w:t>
            </w:r>
          </w:p>
        </w:tc>
      </w:tr>
      <w:tr>
        <w:tc>
          <w:tcPr>
            <w:tcW w:type="dxa" w:w="2929"/>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S1 doors</w:t>
            </w:r>
          </w:p>
        </w:tc>
        <w:tc>
          <w:tcPr>
            <w:tcW w:type="dxa" w:w="2929"/>
            <w:tcW w:type="pct" w:w="30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no κ-leaks; C1-ring vanishes iff κ_C1 = κ_C2</w:t>
            </w:r>
          </w:p>
        </w:tc>
        <w:tc>
          <w:tcPr>
            <w:tcW w:type="dxa" w:w="2929"/>
            <w:tcW w:type="pct" w:w="1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exact (polynomial)</w:t>
            </w:r>
          </w:p>
        </w:tc>
      </w:tr>
      <w:tr>
        <w:tc>
          <w:tcPr>
            <w:tcW w:type="dxa" w:w="2929"/>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S2 schemes</w:t>
            </w:r>
          </w:p>
        </w:tc>
        <w:tc>
          <w:tcPr>
            <w:tcW w:type="dxa" w:w="2929"/>
            <w:tcW w:type="pct" w:w="30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10/12 schemes alive; uniform family τ* = 27/(2κ)</w:t>
            </w:r>
          </w:p>
        </w:tc>
        <w:tc>
          <w:tcPr>
            <w:tcW w:type="dxa" w:w="2929"/>
            <w:tcW w:type="pct" w:w="1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exact</w:t>
            </w:r>
          </w:p>
        </w:tc>
      </w:tr>
      <w:tr>
        <w:tc>
          <w:tcPr>
            <w:tcW w:type="dxa" w:w="2929"/>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S4 pencils</w:t>
            </w:r>
          </w:p>
        </w:tc>
        <w:tc>
          <w:tcPr>
            <w:tcW w:type="dxa" w:w="2929"/>
            <w:tcW w:type="pct" w:w="30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phantom hits to kπ/30: 3.10% / 2.85% / 2.60%</w:t>
            </w:r>
          </w:p>
        </w:tc>
        <w:tc>
          <w:tcPr>
            <w:tcW w:type="dxa" w:w="2929"/>
            <w:tcW w:type="pct" w:w="1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numerical filter</w:t>
            </w:r>
          </w:p>
        </w:tc>
      </w:tr>
    </w:tbl>
    <w:p>
      <w:pPr>
        <w:spacing w:after="120" w:line="360" w:lineRule="auto"/>
      </w:pPr>
    </w:p>
    <w:p>
      <w:pPr>
        <w:keepNext/>
        <w:spacing w:before="480" w:after="360" w:line="360" w:lineRule="auto"/>
        <w:jc w:val="center"/>
      </w:pPr>
      <w:r>
        <w:rPr>
          <w:rFonts w:ascii="Times New Roman" w:hAnsi="Times New Roman" w:eastAsia="SimHei"/>
          <w:b/>
          <w:i w:val="0"/>
          <w:sz w:val="32"/>
        </w:rPr>
        <w:t>5. Numerical Results</w:t>
      </w:r>
      <w:bookmarkStart w:id="104" w:name="_Toc100005"/>
      <w:bookmarkEnd w:id="104"/>
    </w:p>
    <w:p>
      <w:pPr>
        <w:keepNext/>
        <w:spacing w:before="200" w:after="60" w:line="360" w:lineRule="auto"/>
        <w:jc w:val="center"/>
      </w:pPr>
      <w:r>
        <w:rPr>
          <w:rFonts w:ascii="Times New Roman" w:hAnsi="Times New Roman" w:eastAsia="SimSun"/>
          <w:b w:val="0"/>
          <w:i w:val="0"/>
          <w:sz w:val="21"/>
        </w:rPr>
        <w:t>Table 13.3. The pencil schemes and their clock points (S4)</w:t>
      </w:r>
    </w:p>
    <w:tbl>
      <w:tblPr>
        <w:tblW w:type="auto" w:w="0"/>
        <w:jc w:val="center"/>
        <w:tblLayout w:type="fixed"/>
        <w:tblLook w:firstColumn="1" w:firstRow="1" w:lastColumn="0" w:lastRow="0" w:noHBand="0" w:noVBand="1" w:val="04A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197"/>
        <w:gridCol w:w="2197"/>
        <w:gridCol w:w="2197"/>
        <w:gridCol w:w="2197"/>
      </w:tblGrid>
      <w:tr>
        <w:trPr>
          <w:cantSplit/>
          <w:tblHeader/>
        </w:trPr>
        <w:tc>
          <w:tcPr>
            <w:tcW w:type="dxa" w:w="2197"/>
            <w:tcW w:type="pct" w:w="22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Scheme</w:t>
            </w:r>
          </w:p>
        </w:tc>
        <w:tc>
          <w:tcPr>
            <w:tcW w:type="dxa" w:w="2197"/>
            <w:tcW w:type="pct" w:w="13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τ* at point</w:t>
            </w:r>
          </w:p>
        </w:tc>
        <w:tc>
          <w:tcPr>
            <w:tcW w:type="dxa" w:w="2197"/>
            <w:tcW w:type="pct" w:w="15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Best phantom Im λ</w:t>
            </w:r>
          </w:p>
        </w:tc>
        <w:tc>
          <w:tcPr>
            <w:tcW w:type="dxa" w:w="2197"/>
            <w:tcW w:type="pct" w:w="14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Gap to kπ/30</w:t>
            </w:r>
          </w:p>
        </w:tc>
      </w:tr>
      <w:tr>
        <w:tc>
          <w:tcPr>
            <w:tcW w:type="dxa" w:w="2197"/>
            <w:tcW w:type="pct" w:w="22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S0 baseline (no corrections)</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6.750</w:t>
            </w:r>
          </w:p>
        </w:tc>
        <w:tc>
          <w:tcPr>
            <w:tcW w:type="dxa" w:w="2197"/>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0.10797 ≈ 1·π/30</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3.10%</w:t>
            </w:r>
          </w:p>
        </w:tc>
      </w:tr>
      <w:tr>
        <w:tc>
          <w:tcPr>
            <w:tcW w:type="dxa" w:w="2197"/>
            <w:tcW w:type="pct" w:w="22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H_mono (1 + bC − aC), screening off</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6.137</w:t>
            </w:r>
          </w:p>
        </w:tc>
        <w:tc>
          <w:tcPr>
            <w:tcW w:type="dxa" w:w="2197"/>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0.91564 ≈ 9·π/30</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2.85%</w:t>
            </w:r>
          </w:p>
        </w:tc>
      </w:tr>
      <w:tr>
        <w:tc>
          <w:tcPr>
            <w:tcW w:type="dxa" w:w="2197"/>
            <w:tcW w:type="pct" w:w="22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H_screen (1 − bC + aC)</w:t>
            </w:r>
          </w:p>
        </w:tc>
        <w:tc>
          <w:tcPr>
            <w:tcW w:type="dxa" w:w="2197"/>
            <w:tcW w:type="pct" w:w="13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w:t>
            </w:r>
          </w:p>
        </w:tc>
        <w:tc>
          <w:tcPr>
            <w:tcW w:type="dxa" w:w="2197"/>
            <w:tcW w:type="pct" w:w="15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0.10745 ≈ 1·π/30</w:t>
            </w:r>
          </w:p>
        </w:tc>
        <w:tc>
          <w:tcPr>
            <w:tcW w:type="dxa" w:w="2197"/>
            <w:tcW w:type="pct" w:w="14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center"/>
            </w:pPr>
            <w:r/>
            <w:r>
              <w:rPr>
                <w:rFonts w:ascii="Times New Roman" w:hAnsi="Times New Roman" w:eastAsia="SimSun"/>
                <w:b w:val="0"/>
                <w:i w:val="0"/>
                <w:sz w:val="21"/>
              </w:rPr>
              <w:t>2.60%</w:t>
            </w:r>
          </w:p>
        </w:tc>
      </w:tr>
    </w:tbl>
    <w:p>
      <w:pPr>
        <w:spacing w:after="120" w:line="360" w:lineRule="auto"/>
      </w:pPr>
    </w:p>
    <w:p>
      <w:pPr>
        <w:spacing w:after="120" w:line="360" w:lineRule="auto"/>
        <w:jc w:val="both"/>
      </w:pPr>
      <w:r>
        <w:rPr>
          <w:rFonts w:ascii="Times New Roman" w:hAnsi="Times New Roman" w:eastAsia="SimSun"/>
          <w:b w:val="0"/>
          <w:i w:val="0"/>
          <w:sz w:val="24"/>
        </w:rPr>
        <w:t>The residual structure is stable across the schemes: 16 QEP roots split into 4 genuine (rel σ_min ~ 1.4×10⁻⁹) and 12 phantoms (rel σ_min ≥ 2×10⁻⁴); the genuine block stays at λ ≈ 0 (the |Im λ| ≤ 0.002 band), and the phantom cloud keeps its distance from the spinor ladder in every scheme. The best H_mono hit at 9π/30 moves the phantom, not the clock — exactly the screening-off separation recorded in the verdict lines.</w:t>
      </w:r>
    </w:p>
    <w:p>
      <w:pPr>
        <w:keepNext/>
        <w:spacing w:before="480" w:after="360" w:line="360" w:lineRule="auto"/>
        <w:jc w:val="center"/>
      </w:pPr>
      <w:r>
        <w:rPr>
          <w:rFonts w:ascii="Times New Roman" w:hAnsi="Times New Roman" w:eastAsia="SimHei"/>
          <w:b/>
          <w:i w:val="0"/>
          <w:sz w:val="32"/>
        </w:rPr>
        <w:t>6. Corollaries</w:t>
      </w:r>
      <w:bookmarkStart w:id="105" w:name="_Toc100006"/>
      <w:bookmarkEnd w:id="105"/>
    </w:p>
    <w:p>
      <w:pPr>
        <w:spacing w:after="120" w:line="360" w:lineRule="auto"/>
        <w:jc w:val="both"/>
      </w:pPr>
      <w:r>
        <w:rPr>
          <w:rFonts w:ascii="Times New Roman" w:hAnsi="Times New Roman" w:eastAsia="SimSun"/>
          <w:b w:val="0"/>
          <w:i w:val="0"/>
          <w:sz w:val="24"/>
        </w:rPr>
        <w:t>Corollary 13.1 (the corrections are books, not dials). Since every quantum is an exact rational function of π and the repo identities close at 10⁻¹⁹, the corrections are part of the algebraic bookkeeping of the tower — they renormalize the books but introduce no new free parameters.</w:t>
      </w:r>
    </w:p>
    <w:p>
      <w:pPr>
        <w:spacing w:after="120" w:line="360" w:lineRule="auto"/>
        <w:jc w:val="both"/>
      </w:pPr>
      <w:r>
        <w:rPr>
          <w:rFonts w:ascii="Times New Roman" w:hAnsi="Times New Roman" w:eastAsia="SimSun"/>
          <w:b w:val="0"/>
          <w:i w:val="0"/>
          <w:sz w:val="24"/>
        </w:rPr>
        <w:t>Corollary 13.2 (diagonal or dead is the embedding law). The C1-ring factorization (ii) upgrades the scheme audit of monograph No. 7 to an identity: any asymmetric embedding dies at the polynomial level, before any numerics. This is the falsifiable design rule for all future correction classes.</w:t>
      </w:r>
    </w:p>
    <w:p>
      <w:pPr>
        <w:spacing w:after="120" w:line="360" w:lineRule="auto"/>
        <w:jc w:val="both"/>
      </w:pPr>
      <w:r>
        <w:rPr>
          <w:rFonts w:ascii="Times New Roman" w:hAnsi="Times New Roman" w:eastAsia="SimSun"/>
          <w:b w:val="0"/>
          <w:i w:val="0"/>
          <w:sz w:val="24"/>
        </w:rPr>
        <w:t>Corollary 13.3 (the spinor clock needs finite amplitude). The ≤ 3.10% phantom gaps close the linear route to the spinor clock: together with the weight-rule and dd-closure theorems (monographs No. 4–5), the kπ/30 structure can only be produced by finite-amplitude dynamics — the working separation on which the deep campaigns are built.</w:t>
      </w:r>
    </w:p>
    <w:p>
      <w:pPr>
        <w:keepNext/>
        <w:spacing w:before="480" w:after="360" w:line="360" w:lineRule="auto"/>
        <w:jc w:val="center"/>
      </w:pPr>
      <w:r>
        <w:rPr>
          <w:rFonts w:ascii="Times New Roman" w:hAnsi="Times New Roman" w:eastAsia="SimHei"/>
          <w:b/>
          <w:i w:val="0"/>
          <w:sz w:val="32"/>
        </w:rPr>
        <w:t>7. Honest Caveats</w:t>
      </w:r>
      <w:bookmarkStart w:id="106" w:name="_Toc100007"/>
      <w:bookmarkEnd w:id="106"/>
    </w:p>
    <w:p>
      <w:pPr>
        <w:spacing w:after="120" w:line="360" w:lineRule="auto"/>
        <w:jc w:val="both"/>
      </w:pPr>
      <w:r>
        <w:rPr>
          <w:rFonts w:ascii="Times New Roman" w:hAnsi="Times New Roman" w:eastAsia="SimSun"/>
          <w:b w:val="0"/>
          <w:i w:val="0"/>
          <w:sz w:val="24"/>
        </w:rPr>
        <w:t>The phantom-gap numbers are produced by a threshold filter on 50-digit arithmetic: as in monograph No. 4, the filter is calibrated and its verdicts are filter-relative, though the genuine/phantom margin (10⁻⁹ versus 10⁻⁴) is comfortable. The doors audit covers the twelve-equation chain in the T1c source form; other source forms may redistribute the doors, and the audit must be re-run. The uniform family τ*(κ) = 27/(2κ) is proved for the embedding family tested; a structurally different embedding (nonlinear in κ) is outside the theorem. Finally, the H_screen clock point is recorded without a τ* value in the verdict — the scheme keeps the point alive but the book was not separately computed; only the phantom census is quoted for it.</w:t>
      </w:r>
    </w:p>
    <w:p>
      <w:pPr>
        <w:keepNext/>
        <w:spacing w:before="480" w:after="360" w:line="360" w:lineRule="auto"/>
        <w:jc w:val="center"/>
      </w:pPr>
      <w:r>
        <w:rPr>
          <w:rFonts w:ascii="Times New Roman" w:hAnsi="Times New Roman" w:eastAsia="SimHei"/>
          <w:b/>
          <w:i w:val="0"/>
          <w:sz w:val="32"/>
        </w:rPr>
        <w:t>8. Reproducibility</w:t>
      </w:r>
      <w:bookmarkStart w:id="107" w:name="_Toc100008"/>
      <w:bookmarkEnd w:id="107"/>
    </w:p>
    <w:p>
      <w:pPr>
        <w:keepNext/>
        <w:spacing w:before="200" w:after="60" w:line="360" w:lineRule="auto"/>
        <w:jc w:val="center"/>
      </w:pPr>
      <w:r>
        <w:rPr>
          <w:rFonts w:ascii="Times New Roman" w:hAnsi="Times New Roman" w:eastAsia="SimSun"/>
          <w:b w:val="0"/>
          <w:i w:val="0"/>
          <w:sz w:val="21"/>
        </w:rPr>
        <w:t>Table 13.4. Reproduction protocol for Theorem 13</w:t>
      </w:r>
    </w:p>
    <w:tbl>
      <w:tblPr>
        <w:tblW w:type="auto" w:w="0"/>
        <w:jc w:val="center"/>
        <w:tblLayout w:type="fixed"/>
        <w:tblLook w:firstColumn="1" w:firstRow="1" w:lastColumn="0" w:lastRow="0" w:noHBand="0" w:noVBand="1" w:val="04A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929"/>
        <w:gridCol w:w="2929"/>
        <w:gridCol w:w="2929"/>
      </w:tblGrid>
      <w:tr>
        <w:trPr>
          <w:cantSplit/>
          <w:tblHeader/>
        </w:trPr>
        <w:tc>
          <w:tcPr>
            <w:tcW w:type="dxa" w:w="2929"/>
            <w:tcW w:type="pct" w:w="7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Step</w:t>
            </w:r>
          </w:p>
        </w:tc>
        <w:tc>
          <w:tcPr>
            <w:tcW w:type="dxa" w:w="2929"/>
            <w:tcW w:type="pct" w:w="36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Command</w:t>
            </w:r>
          </w:p>
        </w:tc>
        <w:tc>
          <w:tcPr>
            <w:tcW w:type="dxa" w:w="2929"/>
            <w:tcW w:type="pct" w:w="2700"/>
            <w:tcMar>
              <w:top w:type="dxa" w:w="60"/>
              <w:left w:type="dxa" w:w="100"/>
              <w:bottom w:type="dxa" w:w="60"/>
              <w:right w:type="dxa" w:w="100"/>
            </w:tcMar>
            <w:tcBorders>
              <w:top w:val="none" w:color="FFFFFF" w:sz="0"/>
              <w:left w:val="none" w:color="FFFFFF" w:sz="0"/>
              <w:right w:val="none" w:color="FFFFFF" w:sz="0"/>
              <w:bottom w:val="single" w:color="000000" w:sz="2"/>
            </w:tcBorders>
          </w:tcPr>
          <w:p>
            <w:pPr>
              <w:spacing w:line="360" w:lineRule="auto" w:before="0" w:after="0"/>
              <w:jc w:val="center"/>
            </w:pPr>
            <w:r/>
            <w:r>
              <w:rPr>
                <w:rFonts w:ascii="Times New Roman" w:hAnsi="Times New Roman" w:eastAsia="SimSun"/>
                <w:b/>
                <w:i w:val="0"/>
                <w:sz w:val="21"/>
              </w:rPr>
              <w:t>Result</w:t>
            </w:r>
          </w:p>
        </w:tc>
      </w:tr>
      <w:tr>
        <w:tc>
          <w:tcPr>
            <w:tcW w:type="dxa" w:w="2929"/>
            <w:tcW w:type="pct" w:w="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1</w:t>
            </w:r>
          </w:p>
        </w:tc>
        <w:tc>
          <w:tcPr>
            <w:tcW w:type="dxa" w:w="2929"/>
            <w:tcW w:type="pct" w:w="3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python3 sympy_spinor_corrections.py</w:t>
            </w:r>
          </w:p>
        </w:tc>
        <w:tc>
          <w:tcPr>
            <w:tcW w:type="dxa" w:w="2929"/>
            <w:tcW w:type="pct" w:w="2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results/spinor_corrections.json (layers S0–S4)</w:t>
            </w:r>
          </w:p>
        </w:tc>
      </w:tr>
      <w:tr>
        <w:tc>
          <w:tcPr>
            <w:tcW w:type="dxa" w:w="2929"/>
            <w:tcW w:type="pct" w:w="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2</w:t>
            </w:r>
          </w:p>
        </w:tc>
        <w:tc>
          <w:tcPr>
            <w:tcW w:type="dxa" w:w="2929"/>
            <w:tcW w:type="pct" w:w="3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python3 sympy_spectrum_tau_star.py</w:t>
            </w:r>
          </w:p>
        </w:tc>
        <w:tc>
          <w:tcPr>
            <w:tcW w:type="dxa" w:w="2929"/>
            <w:tcW w:type="pct" w:w="2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results/spectrum_tau_star.json (holonomy family crosscheck)</w:t>
            </w:r>
          </w:p>
        </w:tc>
      </w:tr>
      <w:tr>
        <w:tc>
          <w:tcPr>
            <w:tcW w:type="dxa" w:w="2929"/>
            <w:tcW w:type="pct" w:w="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3</w:t>
            </w:r>
          </w:p>
        </w:tc>
        <w:tc>
          <w:tcPr>
            <w:tcW w:type="dxa" w:w="2929"/>
            <w:tcW w:type="pct" w:w="36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python3 -m pytest tests/ -q</w:t>
            </w:r>
          </w:p>
        </w:tc>
        <w:tc>
          <w:tcPr>
            <w:tcW w:type="dxa" w:w="2929"/>
            <w:tcW w:type="pct" w:w="2700"/>
            <w:tcMar>
              <w:top w:type="dxa" w:w="50"/>
              <w:left w:type="dxa" w:w="100"/>
              <w:bottom w:type="dxa" w:w="50"/>
              <w:right w:type="dxa" w:w="100"/>
            </w:tcMar>
            <w:tcBorders>
              <w:top w:val="none" w:color="FFFFFF" w:sz="0"/>
              <w:left w:val="none" w:color="FFFFFF" w:sz="0"/>
              <w:right w:val="none" w:color="FFFFFF" w:sz="0"/>
              <w:bottom w:val="none" w:color="FFFFFF" w:sz="0"/>
            </w:tcBorders>
          </w:tcPr>
          <w:p>
            <w:pPr>
              <w:spacing w:line="360" w:lineRule="auto" w:before="0" w:after="0"/>
              <w:jc w:val="left"/>
            </w:pPr>
            <w:r/>
            <w:r>
              <w:rPr>
                <w:rFonts w:ascii="Times New Roman" w:hAnsi="Times New Roman" w:eastAsia="SimSun"/>
                <w:b w:val="0"/>
                <w:i w:val="0"/>
                <w:sz w:val="21"/>
              </w:rPr>
              <w:t>58 passed (spinor-correction tests included)</w:t>
            </w:r>
          </w:p>
        </w:tc>
      </w:tr>
    </w:tbl>
    <w:p>
      <w:pPr>
        <w:spacing w:after="120" w:line="360" w:lineRule="auto"/>
      </w:pPr>
    </w:p>
    <w:p>
      <w:pPr>
        <w:spacing w:after="120" w:line="360" w:lineRule="auto"/>
        <w:jc w:val="both"/>
      </w:pPr>
      <w:r>
        <w:rPr>
          <w:rFonts w:ascii="Times New Roman" w:hAnsi="Times New Roman" w:eastAsia="SimSun"/>
          <w:b w:val="0"/>
          <w:i w:val="0"/>
          <w:sz w:val="24"/>
        </w:rPr>
        <w:t>The machine runs 10.9 s on an ordinary laptop (deterministic, single-threaded, offline). The data correspond to commit 5b256cd; an autonomous copy lives in einstein_direct/open9/machines/.</w:t>
      </w:r>
    </w:p>
    <w:p>
      <w:pPr>
        <w:keepNext/>
        <w:spacing w:before="480" w:after="360" w:line="360" w:lineRule="auto"/>
        <w:jc w:val="center"/>
      </w:pPr>
      <w:r>
        <w:rPr>
          <w:rFonts w:ascii="Times New Roman" w:hAnsi="Times New Roman" w:eastAsia="SimHei"/>
          <w:b/>
          <w:i w:val="0"/>
          <w:sz w:val="32"/>
        </w:rPr>
        <w:t>References</w:t>
      </w:r>
      <w:bookmarkStart w:id="108" w:name="_Toc100009"/>
      <w:bookmarkEnd w:id="108"/>
    </w:p>
    <w:p>
      <w:pPr>
        <w:spacing w:after="80" w:line="360" w:lineRule="auto"/>
        <w:jc w:val="both"/>
      </w:pPr>
      <w:r>
        <w:rPr>
          <w:rFonts w:ascii="Times New Roman" w:hAnsi="Times New Roman" w:eastAsia="SimSun"/>
          <w:b w:val="0"/>
          <w:i w:val="0"/>
          <w:sz w:val="24"/>
        </w:rPr>
        <w:t>[1] Repository wild8highlander/choptuik_ac_bc: einstein_direct/sympy_spinor_corrections.py; einstein_direct/results/spinor_corrections.json (campaign v11, LEDGER §22).</w:t>
      </w:r>
    </w:p>
    <w:p>
      <w:pPr>
        <w:spacing w:after="80" w:line="360" w:lineRule="auto"/>
        <w:jc w:val="both"/>
      </w:pPr>
      <w:r>
        <w:rPr>
          <w:rFonts w:ascii="Times New Roman" w:hAnsi="Times New Roman" w:eastAsia="SimSun"/>
          <w:b w:val="0"/>
          <w:i w:val="0"/>
          <w:sz w:val="24"/>
        </w:rPr>
        <w:t>[2] Ibid.: einstein_direct/sympy_spectrum_tau_star.py; einstein_direct/results/spectrum_tau_star.json (the holonomy theorem).</w:t>
      </w:r>
    </w:p>
    <w:p>
      <w:pPr>
        <w:spacing w:after="80" w:line="360" w:lineRule="auto"/>
        <w:jc w:val="both"/>
      </w:pPr>
      <w:r>
        <w:rPr>
          <w:rFonts w:ascii="Times New Roman" w:hAnsi="Times New Roman" w:eastAsia="SimSun"/>
          <w:b w:val="0"/>
          <w:i w:val="0"/>
          <w:sz w:val="24"/>
        </w:rPr>
        <w:t>[3] Ibid.: einstein_direct/s4_berry_one_brick.py (the one-brick Berry screening).</w:t>
      </w:r>
    </w:p>
    <w:p>
      <w:pPr>
        <w:spacing w:after="80" w:line="360" w:lineRule="auto"/>
        <w:jc w:val="both"/>
      </w:pPr>
      <w:r>
        <w:rPr>
          <w:rFonts w:ascii="Times New Roman" w:hAnsi="Times New Roman" w:eastAsia="SimSun"/>
          <w:b w:val="0"/>
          <w:i w:val="0"/>
          <w:sz w:val="24"/>
        </w:rPr>
        <w:t>[4] Monographs No. 4, No. 5, No. 7 of the theorems12 cycle.</w:t>
      </w:r>
    </w:p>
    <w:sectPr w:rsidR="00FC693F" w:rsidRPr="0006063C" w:rsidSect="00034616">
      <w:headerReference w:type="default" r:id="rId11"/>
      <w:footerReference w:type="default" r:id="rId12"/>
      <w:pgSz w:w="11906" w:h="16838"/>
      <w:pgMar w:top="1440" w:right="1417" w:bottom="1440" w:left="1701" w:header="850" w:footer="992"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SimSun"/>
        <w:b w:val="0"/>
        <w:i w:val="0"/>
        <w:sz w:val="21"/>
      </w:rPr>
      <w:t xml:space="preserve">- </w:t>
    </w:r>
    <w:r>
      <w:rPr>
        <w:rFonts w:ascii="Times New Roman" w:hAnsi="Times New Roman" w:eastAsia="SimSun"/>
        <w:b w:val="0"/>
        <w:i w:val="0"/>
        <w:sz w:val="21"/>
      </w:rPr>
      <w:fldChar w:fldCharType="begin"/>
    </w:r>
    <w:r>
      <w:rPr>
        <w:rFonts w:ascii="Times New Roman" w:hAnsi="Times New Roman" w:eastAsia="SimSun"/>
        <w:b w:val="0"/>
        <w:i w:val="0"/>
        <w:sz w:val="21"/>
      </w:rPr>
      <w:instrText xml:space="preserve"> PAGE \* ROMAN \* MERGEFORMAT </w:instrText>
    </w:r>
    <w:r>
      <w:rPr>
        <w:rFonts w:ascii="Times New Roman" w:hAnsi="Times New Roman" w:eastAsia="SimSun"/>
        <w:b w:val="0"/>
        <w:i w:val="0"/>
        <w:sz w:val="21"/>
      </w:rPr>
      <w:fldChar w:fldCharType="separate"/>
    </w:r>
    <w:r>
      <w:rPr>
        <w:rFonts w:ascii="Times New Roman" w:hAnsi="Times New Roman" w:eastAsia="SimSun"/>
        <w:b w:val="0"/>
        <w:i w:val="0"/>
        <w:sz w:val="21"/>
      </w:rPr>
      <w:t>1</w:t>
    </w:r>
    <w:r>
      <w:rPr>
        <w:rFonts w:ascii="Times New Roman" w:hAnsi="Times New Roman" w:eastAsia="SimSun"/>
        <w:b w:val="0"/>
        <w:i w:val="0"/>
        <w:sz w:val="21"/>
      </w:rPr>
      <w:fldChar w:fldCharType="end"/>
    </w:r>
    <w:r>
      <w:rPr>
        <w:rFonts w:ascii="Times New Roman" w:hAnsi="Times New Roman" w:eastAsia="SimSun"/>
        <w:b w:val="0"/>
        <w:i w:val="0"/>
        <w:sz w:val="21"/>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SimSun"/>
        <w:b w:val="0"/>
        <w:i w:val="0"/>
        <w:sz w:val="21"/>
      </w:rPr>
      <w:t xml:space="preserve">- </w:t>
    </w:r>
    <w:r>
      <w:rPr>
        <w:rFonts w:ascii="Times New Roman" w:hAnsi="Times New Roman" w:eastAsia="SimSun"/>
        <w:b w:val="0"/>
        <w:i w:val="0"/>
        <w:sz w:val="21"/>
      </w:rPr>
      <w:fldChar w:fldCharType="begin"/>
    </w:r>
    <w:r>
      <w:rPr>
        <w:rFonts w:ascii="Times New Roman" w:hAnsi="Times New Roman" w:eastAsia="SimSun"/>
        <w:b w:val="0"/>
        <w:i w:val="0"/>
        <w:sz w:val="21"/>
      </w:rPr>
      <w:instrText xml:space="preserve"> PAGE \* arabic \* MERGEFORMAT </w:instrText>
    </w:r>
    <w:r>
      <w:rPr>
        <w:rFonts w:ascii="Times New Roman" w:hAnsi="Times New Roman" w:eastAsia="SimSun"/>
        <w:b w:val="0"/>
        <w:i w:val="0"/>
        <w:sz w:val="21"/>
      </w:rPr>
      <w:fldChar w:fldCharType="separate"/>
    </w:r>
    <w:r>
      <w:rPr>
        <w:rFonts w:ascii="Times New Roman" w:hAnsi="Times New Roman" w:eastAsia="SimSun"/>
        <w:b w:val="0"/>
        <w:i w:val="0"/>
        <w:sz w:val="21"/>
      </w:rPr>
      <w:t>1</w:t>
    </w:r>
    <w:r>
      <w:rPr>
        <w:rFonts w:ascii="Times New Roman" w:hAnsi="Times New Roman" w:eastAsia="SimSun"/>
        <w:b w:val="0"/>
        <w:i w:val="0"/>
        <w:sz w:val="21"/>
      </w:rPr>
      <w:fldChar w:fldCharType="end"/>
    </w:r>
    <w:r>
      <w:rPr>
        <w:rFonts w:ascii="Times New Roman" w:hAnsi="Times New Roman" w:eastAsia="SimSun"/>
        <w:b w:val="0"/>
        <w:i w:val="0"/>
        <w:sz w:val="21"/>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center"/>
      <w:pBdr>
        <w:bottom w:val="single" w:color="000000" w:sz="1" w:space="1"/>
      </w:pBdr>
    </w:pPr>
    <w:r/>
    <w:r>
      <w:rPr>
        <w:rFonts w:ascii="Times New Roman" w:hAnsi="Times New Roman" w:eastAsia="SimSun"/>
        <w:b w:val="0"/>
        <w:i w:val="0"/>
        <w:color w:val="333333"/>
        <w:sz w:val="18"/>
      </w:rPr>
      <w:t>theorems12 · Monograph 13 · The Spinor-Corrections Theorem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center"/>
      <w:pBdr>
        <w:bottom w:val="single" w:color="000000" w:sz="1" w:space="1"/>
      </w:pBdr>
    </w:pPr>
    <w:r/>
    <w:r>
      <w:rPr>
        <w:rFonts w:ascii="Times New Roman" w:hAnsi="Times New Roman" w:eastAsia="SimSun"/>
        <w:b w:val="0"/>
        <w:i w:val="0"/>
        <w:color w:val="333333"/>
        <w:sz w:val="18"/>
      </w:rPr>
      <w:t>theorems12 · Monograph 13 · The Spinor-Corrections Theorem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