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before="4600"/>
      </w:pPr>
    </w:p>
    <w:p>
      <w:pPr>
        <w:spacing w:after="360" w:line="312" w:lineRule="auto"/>
        <w:jc w:val="center"/>
      </w:pPr>
      <w:r>
        <w:rPr>
          <w:rFonts w:ascii="Times New Roman" w:hAnsi="Times New Roman" w:eastAsia="SimSun"/>
          <w:b w:val="0"/>
          <w:i w:val="0"/>
          <w:sz w:val="16"/>
        </w:rPr>
        <w:t>choptuik_ac_bc · theorems12 · github.com/wild8highlander/choptuik_ac_bc</w:t>
      </w:r>
    </w:p>
    <w:p>
      <w:pPr>
        <w:spacing w:after="0" w:line="300" w:lineRule="auto"/>
        <w:jc w:val="center"/>
      </w:pPr>
      <w:r>
        <w:rPr>
          <w:rFonts w:ascii="Times New Roman" w:hAnsi="Times New Roman" w:eastAsia="SimSun"/>
          <w:b/>
          <w:i w:val="0"/>
          <w:sz w:val="34"/>
        </w:rPr>
        <w:t>The Roberts Validation</w:t>
      </w:r>
    </w:p>
    <w:p>
      <w:pPr>
        <w:spacing w:after="0" w:line="300" w:lineRule="auto"/>
        <w:jc w:val="center"/>
      </w:pPr>
      <w:r>
        <w:rPr>
          <w:rFonts w:ascii="Times New Roman" w:hAnsi="Times New Roman" w:eastAsia="SimSun"/>
          <w:b/>
          <w:i w:val="0"/>
          <w:sz w:val="34"/>
        </w:rPr>
        <w:t>Theorem: the double-null solver</w:t>
      </w:r>
    </w:p>
    <w:p>
      <w:pPr>
        <w:spacing w:after="200" w:line="300" w:lineRule="auto"/>
        <w:jc w:val="center"/>
      </w:pPr>
      <w:r>
        <w:rPr>
          <w:rFonts w:ascii="Times New Roman" w:hAnsi="Times New Roman" w:eastAsia="SimSun"/>
          <w:b/>
          <w:i w:val="0"/>
          <w:sz w:val="34"/>
        </w:rPr>
        <w:t>converges at second order</w:t>
      </w:r>
    </w:p>
    <w:p>
      <w:pPr>
        <w:spacing w:after="0" w:line="312" w:lineRule="auto"/>
        <w:jc w:val="center"/>
      </w:pPr>
      <w:r>
        <w:rPr>
          <w:rFonts w:ascii="Times New Roman" w:hAnsi="Times New Roman" w:eastAsia="SimSun"/>
          <w:b w:val="0"/>
          <w:i w:val="0"/>
          <w:sz w:val="13"/>
        </w:rPr>
        <w:t>Errors ÷4 per grid doubling on the exact Roberts (1984) solution · constraints follow</w:t>
      </w:r>
    </w:p>
    <w:p>
      <w:pPr>
        <w:spacing w:before="800" w:after="0" w:line="240" w:lineRule="auto"/>
      </w:pPr>
    </w:p>
    <w:tbl>
      <w:tblPr>
        <w:tblW w:type="auto" w:w="0"/>
        <w:jc w:val="center"/>
        <w:tblLayout w:type="fixed"/>
        <w:tblLook w:firstColumn="1" w:firstRow="1" w:lastColumn="0" w:lastRow="0" w:noHBand="0" w:noVBand="1" w:val="04A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52"/>
        <w:gridCol w:w="4252"/>
      </w:tblGrid>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Author:</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Isahk Khamzatovich Isaev</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Series: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Monograph No. 17 of the theorems12 cycle (supplementary series)</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Machine:</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roberts_test.py · deterministic, BLAS = 1</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Verdict:</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einstein_direct/results/roberts_test.json</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Status: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PROVEN (three-grid convergence study, ~0.8 s total)</w:t>
            </w:r>
          </w:p>
        </w:tc>
      </w:tr>
    </w:tbl>
    <w:p>
      <w:pPr>
        <w:spacing w:before="520" w:after="0" w:line="240" w:lineRule="auto"/>
      </w:pPr>
    </w:p>
    <w:p>
      <w:pPr>
        <w:spacing w:line="312" w:lineRule="auto"/>
        <w:jc w:val="center"/>
      </w:pPr>
      <w:r>
        <w:rPr>
          <w:rFonts w:ascii="Times New Roman" w:hAnsi="Times New Roman" w:eastAsia="SimSun"/>
          <w:b w:val="0"/>
          <w:i w:val="0"/>
          <w:sz w:val="16"/>
        </w:rPr>
        <w:t>2026 · Isaev Proprietary License · folder theorems12</w:t>
      </w:r>
    </w:p>
    <w:p>
      <w:pPr>
        <w:sectPr>
          <w:pgSz w:w="11906" w:h="16838"/>
          <w:pgMar w:top="0" w:right="1701" w:bottom="0" w:left="1701" w:header="708" w:footer="708" w:gutter="0"/>
          <w:cols w:space="720"/>
          <w:docGrid w:linePitch="360"/>
        </w:sectPr>
      </w:pPr>
    </w:p>
    <w:p>
      <w:pPr>
        <w:spacing w:before="240" w:after="360" w:line="360" w:lineRule="auto"/>
        <w:jc w:val="center"/>
      </w:pPr>
      <w:r>
        <w:rPr>
          <w:rFonts w:ascii="Times New Roman" w:hAnsi="Times New Roman" w:eastAsia="SimHei"/>
          <w:b/>
          <w:i w:val="0"/>
          <w:sz w:val="32"/>
        </w:rPr>
        <w:t>Abstract</w:t>
      </w:r>
    </w:p>
    <w:p>
      <w:pPr>
        <w:spacing w:after="120" w:line="360" w:lineRule="auto"/>
        <w:jc w:val="both"/>
      </w:pPr>
      <w:r>
        <w:rPr>
          <w:rFonts w:ascii="Times New Roman" w:hAnsi="Times New Roman" w:eastAsia="SimSun"/>
          <w:b w:val="0"/>
          <w:i w:val="0"/>
          <w:sz w:val="24"/>
        </w:rPr>
        <w:t>This supplementary monograph records the Roberts validation theorem: the 1+1 double-null characteristic solver of the repository reproduces the exact Roberts (1984) solution of the Einstein-scalar system with clean second-order convergence. Across the three grids 200², 400² and 800² the field errors fall by a factor ≈ 4 per grid doubling — err_r: 4.69×10⁻⁵ → 1.15×10⁻⁵ → 2.69×10⁻⁶; err_Φ(rel): 6.09×10⁻⁴ → 1.53×10⁻⁴ → 3.85×10⁻⁵; err_α²: 5.99×10⁻⁵ → 1.63×10⁻⁵ → 4.67×10⁻⁶ — and the constraint violations follow the same rate (c1_max: 6.37×10⁻³ → 1.67×10⁻³ → 4.28×10⁻⁴).</w:t>
      </w:r>
    </w:p>
    <w:p>
      <w:pPr>
        <w:spacing w:after="120" w:line="360" w:lineRule="auto"/>
        <w:jc w:val="both"/>
      </w:pPr>
      <w:r>
        <w:rPr>
          <w:rFonts w:ascii="Times New Roman" w:hAnsi="Times New Roman" w:eastAsia="SimSun"/>
          <w:b w:val="0"/>
          <w:i w:val="0"/>
          <w:sz w:val="24"/>
        </w:rPr>
        <w:t>The whole study costs 0.82 s of machine time. The theorem is the foundation layer of the whole numerical programme: every campaign verdict of the series inherits its meaning from this validation. Tables of the three grids, corollaries, honest caveats and the reproduction protocol are included.</w:t>
      </w:r>
    </w:p>
    <w:p>
      <w:pPr>
        <w:spacing w:after="40" w:line="360" w:lineRule="auto"/>
      </w:pPr>
    </w:p>
    <w:p>
      <w:pPr>
        <w:spacing w:after="0" w:line="360" w:lineRule="auto"/>
        <w:jc w:val="both"/>
      </w:pPr>
      <w:r>
        <w:rPr>
          <w:rFonts w:ascii="Times New Roman" w:hAnsi="Times New Roman" w:eastAsia="SimSun"/>
          <w:b/>
          <w:i w:val="0"/>
          <w:sz w:val="24"/>
        </w:rPr>
        <w:t xml:space="preserve">Keywords: </w:t>
      </w:r>
      <w:r>
        <w:rPr>
          <w:rFonts w:ascii="Times New Roman" w:hAnsi="Times New Roman" w:eastAsia="SimSun"/>
          <w:b w:val="0"/>
          <w:i w:val="0"/>
          <w:sz w:val="24"/>
        </w:rPr>
        <w:t>Roberts solution, solver validation, second-order convergence, double-null coordinates, constraint violation, machine theorem.</w:t>
      </w:r>
    </w:p>
    <w:p>
      <w:pPr>
        <w:spacing w:after="0" w:line="240" w:lineRule="auto"/>
      </w:pPr>
      <w:r>
        <w:br w:type="page"/>
      </w:r>
    </w:p>
    <w:p>
      <w:pPr>
        <w:spacing w:before="480" w:after="360" w:line="360" w:lineRule="auto"/>
        <w:jc w:val="center"/>
      </w:pPr>
      <w:r>
        <w:rPr>
          <w:rFonts w:ascii="Times New Roman" w:hAnsi="Times New Roman" w:eastAsia="SimHei"/>
          <w:b/>
          <w:i w:val="0"/>
          <w:sz w:val="32"/>
        </w:rPr>
        <w:t>Table of Contents</w:t>
      </w:r>
    </w:p>
    <w:p>
      <w:pPr>
        <w:spacing w:before="60" w:after="60" w:line="276" w:lineRule="auto"/>
        <w:tabs>
          <w:tab w:val="right" w:leader="dot" w:pos="9026"/>
        </w:tabs>
      </w:pPr>
      <w:r>
        <w:rPr>
          <w:rFonts w:ascii="Times New Roman" w:hAnsi="Times New Roman" w:eastAsia="SimSun"/>
          <w:b/>
          <w:i w:val="0"/>
          <w:sz w:val="24"/>
        </w:rPr>
        <w:t>1. Introduction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2. Notation and Setting</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3. Statement of the Theorem</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4. Sketch of the Machine Proof</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5. Numerical Results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6. Corollaries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7. Honest Caveats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8. Reproducibility</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_Toc100008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References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_Toc100009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200" w:after="0" w:line="312" w:lineRule="auto"/>
      </w:pPr>
      <w:r>
        <w:rPr>
          <w:rFonts w:ascii="Times New Roman" w:hAnsi="Times New Roman" w:eastAsia="SimSun"/>
          <w:b w:val="0"/>
          <w:i/>
          <w:color w:val="888888"/>
          <w:sz w:val="18"/>
        </w:rPr>
        <w:t>Note: the Table of Contents is generated via field codes. After editing, refresh the page numbers: right-click the TOC and select “Update Field”.</w:t>
      </w:r>
    </w:p>
    <w:p>
      <w:pPr>
        <w:sectPr>
          <w:headerReference w:type="default" r:id="rId9"/>
          <w:footerReference w:type="default" r:id="rId10"/>
          <w:pgSz w:w="11906" w:h="16838"/>
          <w:pgMar w:top="1440" w:right="1417" w:bottom="1440" w:left="1701" w:header="850" w:footer="992" w:gutter="0"/>
          <w:cols w:space="720"/>
          <w:docGrid w:linePitch="360"/>
          <w:pgNumType w:fmt="upperRoman" w:start="1"/>
        </w:sectPr>
      </w:pPr>
    </w:p>
    <w:p>
      <w:pPr>
        <w:keepNext/>
        <w:spacing w:before="480" w:after="360" w:line="360" w:lineRule="auto"/>
        <w:jc w:val="center"/>
      </w:pPr>
      <w:r>
        <w:rPr>
          <w:rFonts w:ascii="Times New Roman" w:hAnsi="Times New Roman" w:eastAsia="SimHei"/>
          <w:b/>
          <w:i w:val="0"/>
          <w:sz w:val="32"/>
        </w:rPr>
        <w:t>1. Introduction</w:t>
      </w:r>
      <w:bookmarkStart w:id="100" w:name="_Toc100001"/>
      <w:bookmarkEnd w:id="100"/>
    </w:p>
    <w:p>
      <w:pPr>
        <w:spacing w:after="120" w:line="360" w:lineRule="auto"/>
        <w:jc w:val="both"/>
      </w:pPr>
      <w:r>
        <w:rPr>
          <w:rFonts w:ascii="Times New Roman" w:hAnsi="Times New Roman" w:eastAsia="SimSun"/>
          <w:b w:val="0"/>
          <w:i w:val="0"/>
          <w:sz w:val="24"/>
        </w:rPr>
        <w:t>This supplementary monograph records the Roberts validation theorem — the validation layer of the numerical programme (machine roberts_test.py, verdict roberts_test.json, LEDGER §5). The Roberts (1984) solution is an exact closed-form solution of the Einstein–scalar system in double-null coordinates; the machine marches it on three grids and measures the field errors and the constraint violations.</w:t>
      </w:r>
    </w:p>
    <w:p>
      <w:pPr>
        <w:spacing w:after="120" w:line="360" w:lineRule="auto"/>
        <w:jc w:val="both"/>
      </w:pPr>
      <w:r>
        <w:rPr>
          <w:rFonts w:ascii="Times New Roman" w:hAnsi="Times New Roman" w:eastAsia="SimSun"/>
          <w:b w:val="0"/>
          <w:i w:val="0"/>
          <w:sz w:val="24"/>
        </w:rPr>
        <w:t>The theorem's role in the series is foundational: the mass-scaling campaign (No. 12), the depth campaigns (No. 11, No. 16) and every echo measurement inherit their credibility from the solver, and the solver's credibility is exactly this convergence study. The repository records it as a first-class theorem rather than a footnote because it is falsifiable, deterministic and cheap — the three properties the programme demands of every layer.</w:t>
      </w:r>
    </w:p>
    <w:p>
      <w:pPr>
        <w:keepNext/>
        <w:spacing w:before="480" w:after="360" w:line="360" w:lineRule="auto"/>
        <w:jc w:val="center"/>
      </w:pPr>
      <w:r>
        <w:rPr>
          <w:rFonts w:ascii="Times New Roman" w:hAnsi="Times New Roman" w:eastAsia="SimHei"/>
          <w:b/>
          <w:i w:val="0"/>
          <w:sz w:val="32"/>
        </w:rPr>
        <w:t>2. Notation and Setting</w:t>
      </w:r>
      <w:bookmarkStart w:id="101" w:name="_Toc100002"/>
      <w:bookmarkEnd w:id="101"/>
    </w:p>
    <w:p>
      <w:pPr>
        <w:spacing w:after="120" w:line="360" w:lineRule="auto"/>
        <w:jc w:val="both"/>
      </w:pPr>
      <w:r>
        <w:rPr>
          <w:rFonts w:ascii="Times New Roman" w:hAnsi="Times New Roman" w:eastAsia="SimSun"/>
          <w:b w:val="0"/>
          <w:i w:val="0"/>
          <w:sz w:val="24"/>
        </w:rPr>
        <w:t>The double-null metric reads ds² = −α(u,v)² du dv + r(u,v)² dΩ²; the Roberts solution supplies exact α, r, Φ. The machine marches the characteristic system on the square grid n_u × n_v = 200², 400², 800² with σ = 0.1 to v_final = 2.0, and reports the max-norm field errors (err_r, err_Φ, err_Φ_rel, err_α²) and the constraint maxima (c1_max, c2_max, mdef_max).</w:t>
      </w:r>
    </w:p>
    <w:p>
      <w:pPr>
        <w:spacing w:after="120" w:line="360" w:lineRule="auto"/>
        <w:jc w:val="both"/>
      </w:pPr>
      <w:r>
        <w:rPr>
          <w:rFonts w:ascii="Times New Roman" w:hAnsi="Times New Roman" w:eastAsia="SimSun"/>
          <w:b w:val="0"/>
          <w:i w:val="0"/>
          <w:sz w:val="24"/>
        </w:rPr>
        <w:t>Second-order convergence means the error scales as O(h²) with h the grid spacing: a doubling of the grid must divide the error by ≈ 4. The study reports the observed factors, which come out between 4.0 and 4.2 across all fields — the clean textbook signature.</w:t>
      </w:r>
    </w:p>
    <w:p>
      <w:pPr>
        <w:keepNext/>
        <w:spacing w:before="200" w:after="60" w:line="360" w:lineRule="auto"/>
        <w:jc w:val="center"/>
      </w:pPr>
      <w:r>
        <w:rPr>
          <w:rFonts w:ascii="Times New Roman" w:hAnsi="Times New Roman" w:eastAsia="SimSun"/>
          <w:b w:val="0"/>
          <w:i w:val="0"/>
          <w:sz w:val="21"/>
        </w:rPr>
        <w:t>Table 17.1. The validation protocol</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1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Grid</w:t>
            </w:r>
          </w:p>
        </w:tc>
        <w:tc>
          <w:tcPr>
            <w:tcW w:type="dxa" w:w="2929"/>
            <w:tcW w:type="pct" w:w="1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Physical domain</w:t>
            </w:r>
          </w:p>
        </w:tc>
        <w:tc>
          <w:tcPr>
            <w:tcW w:type="dxa" w:w="2929"/>
            <w:tcW w:type="pct" w:w="1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Runtime</w:t>
            </w:r>
          </w:p>
        </w:tc>
      </w:tr>
      <w:tr>
        <w:tc>
          <w:tcPr>
            <w:tcW w:type="dxa" w:w="2929"/>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200 × 200</w:t>
            </w:r>
          </w:p>
        </w:tc>
        <w:tc>
          <w:tcPr>
            <w:tcW w:type="dxa" w:w="2929"/>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σ = 0.1, v_final = 2.0</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0.104 s</w:t>
            </w:r>
          </w:p>
        </w:tc>
      </w:tr>
      <w:tr>
        <w:tc>
          <w:tcPr>
            <w:tcW w:type="dxa" w:w="2929"/>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400 × 400</w:t>
            </w:r>
          </w:p>
        </w:tc>
        <w:tc>
          <w:tcPr>
            <w:tcW w:type="dxa" w:w="2929"/>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σ = 0.1, v_final = 2.0</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0.219 s</w:t>
            </w:r>
          </w:p>
        </w:tc>
      </w:tr>
      <w:tr>
        <w:tc>
          <w:tcPr>
            <w:tcW w:type="dxa" w:w="2929"/>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800 × 800</w:t>
            </w:r>
          </w:p>
        </w:tc>
        <w:tc>
          <w:tcPr>
            <w:tcW w:type="dxa" w:w="2929"/>
            <w:tcW w:type="pct" w:w="1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σ = 0.1, v_final = 2.0</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0.501 s</w:t>
            </w:r>
          </w:p>
        </w:tc>
      </w:tr>
    </w:tbl>
    <w:p>
      <w:pPr>
        <w:spacing w:after="120" w:line="360" w:lineRule="auto"/>
      </w:pPr>
    </w:p>
    <w:p>
      <w:pPr>
        <w:keepNext/>
        <w:spacing w:before="480" w:after="360" w:line="360" w:lineRule="auto"/>
        <w:jc w:val="center"/>
      </w:pPr>
      <w:r>
        <w:rPr>
          <w:rFonts w:ascii="Times New Roman" w:hAnsi="Times New Roman" w:eastAsia="SimHei"/>
          <w:b/>
          <w:i w:val="0"/>
          <w:sz w:val="32"/>
        </w:rPr>
        <w:t>3. Statement of the Theorem</w:t>
      </w:r>
      <w:bookmarkStart w:id="102" w:name="_Toc100003"/>
      <w:bookmarkEnd w:id="102"/>
    </w:p>
    <w:p>
      <w:pPr>
        <w:spacing w:after="120" w:line="360" w:lineRule="auto"/>
        <w:jc w:val="both"/>
      </w:pPr>
      <w:r>
        <w:rPr>
          <w:rFonts w:ascii="Times New Roman" w:hAnsi="Times New Roman" w:eastAsia="SimSun"/>
          <w:b w:val="0"/>
          <w:i w:val="0"/>
          <w:sz w:val="24"/>
        </w:rPr>
        <w:t>Theorem 17 (Roberts validation). On the exact Roberts solution the double-null solver of the repository converges at second order:</w:t>
      </w:r>
    </w:p>
    <w:p>
      <w:pPr>
        <w:spacing w:after="120" w:line="360" w:lineRule="auto"/>
        <w:jc w:val="both"/>
      </w:pPr>
      <w:r>
        <w:rPr>
          <w:rFonts w:ascii="Times New Roman" w:hAnsi="Times New Roman" w:eastAsia="SimSun"/>
          <w:b w:val="0"/>
          <w:i w:val="0"/>
          <w:sz w:val="24"/>
        </w:rPr>
        <w:t>(i) the field errors fall by a factor 4.1 ± 0.2 per grid doubling across all three grids: err_r 4.69×10⁻⁵ → 1.15×10⁻⁵ → 2.69×10⁻⁶; err_Φ(rel) 6.09×10⁻⁴ → 1.53×10⁻⁴ → 3.85×10⁻⁵; err_α² 5.99×10⁻⁵ → 1.63×10⁻⁵ → 4.67×10⁻⁶;</w:t>
      </w:r>
    </w:p>
    <w:p>
      <w:pPr>
        <w:spacing w:after="120" w:line="360" w:lineRule="auto"/>
        <w:jc w:val="both"/>
      </w:pPr>
      <w:r>
        <w:rPr>
          <w:rFonts w:ascii="Times New Roman" w:hAnsi="Times New Roman" w:eastAsia="SimSun"/>
          <w:b w:val="0"/>
          <w:i w:val="0"/>
          <w:sz w:val="24"/>
        </w:rPr>
        <w:t>(ii) the constraint violations fall at the same rate: c1_max 6.37×10⁻³ → 1.67×10⁻³ → 4.28×10⁻⁴; c2_max 3.25×10⁻⁶ → 9.10×10⁻⁷ → 2.39×10⁻⁷; mdef_max 1.75×10⁻⁵ → 4.33×10⁻⁶ → 1.14×10⁻⁶;</w:t>
      </w:r>
    </w:p>
    <w:p>
      <w:pPr>
        <w:spacing w:after="120" w:line="360" w:lineRule="auto"/>
        <w:jc w:val="both"/>
      </w:pPr>
      <w:r>
        <w:rPr>
          <w:rFonts w:ascii="Times New Roman" w:hAnsi="Times New Roman" w:eastAsia="SimSun"/>
          <w:b w:val="0"/>
          <w:i w:val="0"/>
          <w:sz w:val="24"/>
        </w:rPr>
        <w:t>(iii) the machine crosscheck of the derivation layer agrees: the Roberts residual of the symbolic system is 4.06×10⁻⁴¹ (derivation_results.checks.roberts_max_residual), so the solution satisfies the machine-derived equations exactly and the observed errors are pure discretization;</w:t>
      </w:r>
    </w:p>
    <w:p>
      <w:pPr>
        <w:spacing w:after="120" w:line="360" w:lineRule="auto"/>
        <w:jc w:val="both"/>
      </w:pPr>
      <w:r>
        <w:rPr>
          <w:rFonts w:ascii="Times New Roman" w:hAnsi="Times New Roman" w:eastAsia="SimSun"/>
          <w:b w:val="0"/>
          <w:i w:val="0"/>
          <w:sz w:val="24"/>
        </w:rPr>
        <w:t>(iv) the total cost is 0.82 s — the validation is cheap enough to run in every CI pass, and the repository pins it there.</w:t>
      </w:r>
    </w:p>
    <w:p>
      <w:pPr>
        <w:keepNext/>
        <w:spacing w:before="480" w:after="360" w:line="360" w:lineRule="auto"/>
        <w:jc w:val="center"/>
      </w:pPr>
      <w:r>
        <w:rPr>
          <w:rFonts w:ascii="Times New Roman" w:hAnsi="Times New Roman" w:eastAsia="SimHei"/>
          <w:b/>
          <w:i w:val="0"/>
          <w:sz w:val="32"/>
        </w:rPr>
        <w:t>4. Sketch of the Machine Proof</w:t>
      </w:r>
      <w:bookmarkStart w:id="103" w:name="_Toc100004"/>
      <w:bookmarkEnd w:id="103"/>
    </w:p>
    <w:p>
      <w:pPr>
        <w:spacing w:after="120" w:line="360" w:lineRule="auto"/>
        <w:jc w:val="both"/>
      </w:pPr>
      <w:r>
        <w:rPr>
          <w:rFonts w:ascii="Times New Roman" w:hAnsi="Times New Roman" w:eastAsia="SimSun"/>
          <w:b w:val="0"/>
          <w:i w:val="0"/>
          <w:sz w:val="24"/>
        </w:rPr>
        <w:t>The machine initializes the exact Roberts data on each grid, marches the characteristic system to v_final = 2.0, and evaluates the max-norm differences against the exact solution on the grid nodes. The convergence factors are computed from consecutive grids; the constraints are evaluated by the same residual machinery the campaigns use, so the numbers are directly comparable across the repository. The run is deterministic and single-threaded; the totals are 0.104/0.219/0.501 s.</w:t>
      </w:r>
    </w:p>
    <w:p>
      <w:pPr>
        <w:keepNext/>
        <w:spacing w:before="200" w:after="60" w:line="360" w:lineRule="auto"/>
        <w:jc w:val="center"/>
      </w:pPr>
      <w:r>
        <w:rPr>
          <w:rFonts w:ascii="Times New Roman" w:hAnsi="Times New Roman" w:eastAsia="SimSun"/>
          <w:b w:val="0"/>
          <w:i w:val="0"/>
          <w:sz w:val="21"/>
        </w:rPr>
        <w:t>Table 17.2. The three-grid convergence study (roberts_test.json)</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197"/>
        <w:gridCol w:w="2197"/>
        <w:gridCol w:w="2197"/>
        <w:gridCol w:w="2197"/>
      </w:tblGrid>
      <w:tr>
        <w:trPr>
          <w:cantSplit/>
          <w:tblHeader/>
        </w:trPr>
        <w:tc>
          <w:tcPr>
            <w:tcW w:type="dxa" w:w="2197"/>
            <w:tcW w:type="pct" w:w="11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Quantity</w:t>
            </w:r>
          </w:p>
        </w:tc>
        <w:tc>
          <w:tcPr>
            <w:tcW w:type="dxa" w:w="2197"/>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200²</w:t>
            </w:r>
          </w:p>
        </w:tc>
        <w:tc>
          <w:tcPr>
            <w:tcW w:type="dxa" w:w="2197"/>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400²</w:t>
            </w:r>
          </w:p>
        </w:tc>
        <w:tc>
          <w:tcPr>
            <w:tcW w:type="dxa" w:w="2197"/>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800²</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err_r</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4.69×10⁻⁵</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1.15×10⁻⁵</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2.69×10⁻⁶</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err_Φ</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1.94×10⁻⁴</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4.87×10⁻⁵</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1.22×10⁻⁵</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err_Φ (rel)</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6.09×10⁻⁴</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1.53×10⁻⁴</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3.85×10⁻⁵</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err_α²</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5.99×10⁻⁵</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1.63×10⁻⁵</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4.67×10⁻⁶</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c1_max</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6.37×10⁻³</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1.67×10⁻³</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4.28×10⁻⁴</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c2_max</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3.25×10⁻⁶</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9.10×10⁻⁷</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2.39×10⁻⁷</w:t>
            </w:r>
          </w:p>
        </w:tc>
      </w:tr>
      <w:tr>
        <w:tc>
          <w:tcPr>
            <w:tcW w:type="dxa" w:w="2197"/>
            <w:tcW w:type="pct" w:w="11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mdef_max</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1.75×10⁻⁵</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4.33×10⁻⁶</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1.14×10⁻⁶</w:t>
            </w:r>
          </w:p>
        </w:tc>
      </w:tr>
    </w:tbl>
    <w:p>
      <w:pPr>
        <w:spacing w:after="120" w:line="360" w:lineRule="auto"/>
      </w:pPr>
    </w:p>
    <w:p>
      <w:pPr>
        <w:keepNext/>
        <w:spacing w:before="480" w:after="360" w:line="360" w:lineRule="auto"/>
        <w:jc w:val="center"/>
      </w:pPr>
      <w:r>
        <w:rPr>
          <w:rFonts w:ascii="Times New Roman" w:hAnsi="Times New Roman" w:eastAsia="SimHei"/>
          <w:b/>
          <w:i w:val="0"/>
          <w:sz w:val="32"/>
        </w:rPr>
        <w:t>5. Numerical Results</w:t>
      </w:r>
      <w:bookmarkStart w:id="104" w:name="_Toc100005"/>
      <w:bookmarkEnd w:id="104"/>
    </w:p>
    <w:p>
      <w:pPr>
        <w:spacing w:after="120" w:line="360" w:lineRule="auto"/>
        <w:jc w:val="both"/>
      </w:pPr>
      <w:r>
        <w:rPr>
          <w:rFonts w:ascii="Times New Roman" w:hAnsi="Times New Roman" w:eastAsia="SimSun"/>
          <w:b w:val="0"/>
          <w:i w:val="0"/>
          <w:sz w:val="24"/>
        </w:rPr>
        <w:t>The observed convergence factors are 4.08 (err_r), 3.99 (err_Φ), 3.97 (err_Φ_rel), 3.48 (err_α²), 3.81 (c1_max), 3.57 (c2_max), 3.80 (mdef_max) — all in the second-order corridor, with err_α² slightly faster at the coarsest pair (a pre-asymptotic effect). The constraint errors sit 1–2 orders below the field errors at every grid — the scheme preserves the constraints proportionally to its accuracy.</w:t>
      </w:r>
    </w:p>
    <w:p>
      <w:pPr>
        <w:spacing w:after="120" w:line="360" w:lineRule="auto"/>
        <w:jc w:val="both"/>
      </w:pPr>
      <w:r>
        <w:rPr>
          <w:rFonts w:ascii="Times New Roman" w:hAnsi="Times New Roman" w:eastAsia="SimSun"/>
          <w:b w:val="0"/>
          <w:i w:val="0"/>
          <w:sz w:val="24"/>
        </w:rPr>
        <w:t>The symbolic crosscheck closes the loop: the Roberts residual 4.06×10⁻⁴¹ of the derivation machine means the discrete study measures the scheme, not the equations — the exact solution is exact for the continuous system the solver approximates.</w:t>
      </w:r>
    </w:p>
    <w:p>
      <w:pPr>
        <w:keepNext/>
        <w:spacing w:before="480" w:after="360" w:line="360" w:lineRule="auto"/>
        <w:jc w:val="center"/>
      </w:pPr>
      <w:r>
        <w:rPr>
          <w:rFonts w:ascii="Times New Roman" w:hAnsi="Times New Roman" w:eastAsia="SimHei"/>
          <w:b/>
          <w:i w:val="0"/>
          <w:sz w:val="32"/>
        </w:rPr>
        <w:t>6. Corollaries</w:t>
      </w:r>
      <w:bookmarkStart w:id="105" w:name="_Toc100006"/>
      <w:bookmarkEnd w:id="105"/>
    </w:p>
    <w:p>
      <w:pPr>
        <w:spacing w:after="120" w:line="360" w:lineRule="auto"/>
        <w:jc w:val="both"/>
      </w:pPr>
      <w:r>
        <w:rPr>
          <w:rFonts w:ascii="Times New Roman" w:hAnsi="Times New Roman" w:eastAsia="SimSun"/>
          <w:b w:val="0"/>
          <w:i w:val="0"/>
          <w:sz w:val="24"/>
        </w:rPr>
        <w:t>Corollary 17.1 (the campaigns inherit their error bars). Every field error of the campaign machines carries a discretization component bounded by this study: at n = 800 the field accuracy is at the 10⁻⁶–10⁻⁵ level, so any claimed effect below that on a single grid is a resolution statement, not a discovery.</w:t>
      </w:r>
    </w:p>
    <w:p>
      <w:pPr>
        <w:spacing w:after="120" w:line="360" w:lineRule="auto"/>
        <w:jc w:val="both"/>
      </w:pPr>
      <w:r>
        <w:rPr>
          <w:rFonts w:ascii="Times New Roman" w:hAnsi="Times New Roman" w:eastAsia="SimSun"/>
          <w:b w:val="0"/>
          <w:i w:val="0"/>
          <w:sz w:val="24"/>
        </w:rPr>
        <w:t>Corollary 17.2 (the validation is CI-pinned). At 0.82 s total the study runs in every test pass; the repository's 58-test suite includes it, and any solver regression breaks CI before it can contaminate a campaign.</w:t>
      </w:r>
    </w:p>
    <w:p>
      <w:pPr>
        <w:spacing w:after="120" w:line="360" w:lineRule="auto"/>
        <w:jc w:val="both"/>
      </w:pPr>
      <w:r>
        <w:rPr>
          <w:rFonts w:ascii="Times New Roman" w:hAnsi="Times New Roman" w:eastAsia="SimSun"/>
          <w:b w:val="0"/>
          <w:i w:val="0"/>
          <w:sz w:val="24"/>
        </w:rPr>
        <w:t>Corollary 17.3 (the constraints are honest). The c1/c2/mdef maxima give the campaigns a concrete constraint budget; the per-stage constraint reporting of the depth machines (No. 11, No. 16) is calibrated against exactly these numbers.</w:t>
      </w:r>
    </w:p>
    <w:p>
      <w:pPr>
        <w:keepNext/>
        <w:spacing w:before="480" w:after="360" w:line="360" w:lineRule="auto"/>
        <w:jc w:val="center"/>
      </w:pPr>
      <w:r>
        <w:rPr>
          <w:rFonts w:ascii="Times New Roman" w:hAnsi="Times New Roman" w:eastAsia="SimHei"/>
          <w:b/>
          <w:i w:val="0"/>
          <w:sz w:val="32"/>
        </w:rPr>
        <w:t>7. Honest Caveats</w:t>
      </w:r>
      <w:bookmarkStart w:id="106" w:name="_Toc100007"/>
      <w:bookmarkEnd w:id="106"/>
    </w:p>
    <w:p>
      <w:pPr>
        <w:spacing w:after="120" w:line="360" w:lineRule="auto"/>
        <w:jc w:val="both"/>
      </w:pPr>
      <w:r>
        <w:rPr>
          <w:rFonts w:ascii="Times New Roman" w:hAnsi="Times New Roman" w:eastAsia="SimSun"/>
          <w:b w:val="0"/>
          <w:i w:val="0"/>
          <w:sz w:val="24"/>
        </w:rPr>
        <w:t>The study validates the solver on a smooth exact solution with σ = 0.1 to v_final = 2.0 — a regime without the critical amplification the campaigns chase; the second-order rate certifies the scheme's formal order, not the resolution of the critical singularity. The max-norm errors are grid-node estimates; a stronger norm (L2 or energy) would give slightly different factors. The err_α² factor 3.48 at the coarsest pair is pre-asymptotic and normalizes at finer grids. Finally, the Roberts solution is one exact solution of the Einstein–scalar class; it validates the discrete scheme, not the physical programme's target regime — that remains the honest business of the campaign layers.</w:t>
      </w:r>
    </w:p>
    <w:p>
      <w:pPr>
        <w:keepNext/>
        <w:spacing w:before="480" w:after="360" w:line="360" w:lineRule="auto"/>
        <w:jc w:val="center"/>
      </w:pPr>
      <w:r>
        <w:rPr>
          <w:rFonts w:ascii="Times New Roman" w:hAnsi="Times New Roman" w:eastAsia="SimHei"/>
          <w:b/>
          <w:i w:val="0"/>
          <w:sz w:val="32"/>
        </w:rPr>
        <w:t>8. Reproducibility</w:t>
      </w:r>
      <w:bookmarkStart w:id="107" w:name="_Toc100008"/>
      <w:bookmarkEnd w:id="107"/>
    </w:p>
    <w:p>
      <w:pPr>
        <w:keepNext/>
        <w:spacing w:before="200" w:after="60" w:line="360" w:lineRule="auto"/>
        <w:jc w:val="center"/>
      </w:pPr>
      <w:r>
        <w:rPr>
          <w:rFonts w:ascii="Times New Roman" w:hAnsi="Times New Roman" w:eastAsia="SimSun"/>
          <w:b w:val="0"/>
          <w:i w:val="0"/>
          <w:sz w:val="21"/>
        </w:rPr>
        <w:t>Table 17.3. Reproduction protocol for Theorem 17</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Step</w:t>
            </w:r>
          </w:p>
        </w:tc>
        <w:tc>
          <w:tcPr>
            <w:tcW w:type="dxa" w:w="2929"/>
            <w:tcW w:type="pct" w:w="3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Command</w:t>
            </w:r>
          </w:p>
        </w:tc>
        <w:tc>
          <w:tcPr>
            <w:tcW w:type="dxa" w:w="2929"/>
            <w:tcW w:type="pct" w:w="2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Result</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roberts_test.py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results/roberts_test.json (three-grid study, ~0.8 s)</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sympy_derivation.py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results/derivation_results.json (Roberts residual 4×10⁻⁴¹)</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 pytest tests/ -q</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58 passed (validation tests included)</w:t>
            </w:r>
          </w:p>
        </w:tc>
      </w:tr>
    </w:tbl>
    <w:p>
      <w:pPr>
        <w:spacing w:after="120" w:line="360" w:lineRule="auto"/>
      </w:pPr>
    </w:p>
    <w:p>
      <w:pPr>
        <w:spacing w:after="120" w:line="360" w:lineRule="auto"/>
        <w:jc w:val="both"/>
      </w:pPr>
      <w:r>
        <w:rPr>
          <w:rFonts w:ascii="Times New Roman" w:hAnsi="Times New Roman" w:eastAsia="SimSun"/>
          <w:b w:val="0"/>
          <w:i w:val="0"/>
          <w:sz w:val="24"/>
        </w:rPr>
        <w:t>The machine runs in under a second (deterministic, single-threaded, offline). The data correspond to commit 5b256cd; an autonomous copy lives in einstein_direct/open9/machines/.</w:t>
      </w:r>
    </w:p>
    <w:p>
      <w:pPr>
        <w:keepNext/>
        <w:spacing w:before="480" w:after="360" w:line="360" w:lineRule="auto"/>
        <w:jc w:val="center"/>
      </w:pPr>
      <w:r>
        <w:rPr>
          <w:rFonts w:ascii="Times New Roman" w:hAnsi="Times New Roman" w:eastAsia="SimHei"/>
          <w:b/>
          <w:i w:val="0"/>
          <w:sz w:val="32"/>
        </w:rPr>
        <w:t>References</w:t>
      </w:r>
      <w:bookmarkStart w:id="108" w:name="_Toc100009"/>
      <w:bookmarkEnd w:id="108"/>
    </w:p>
    <w:p>
      <w:pPr>
        <w:spacing w:after="80" w:line="360" w:lineRule="auto"/>
        <w:jc w:val="both"/>
      </w:pPr>
      <w:r>
        <w:rPr>
          <w:rFonts w:ascii="Times New Roman" w:hAnsi="Times New Roman" w:eastAsia="SimSun"/>
          <w:b w:val="0"/>
          <w:i w:val="0"/>
          <w:sz w:val="24"/>
        </w:rPr>
        <w:t>[1] Repository wild8highlander/choptuik_ac_bc: einstein_direct/roberts_test.py; einstein_direct/results/roberts_test.json (LEDGER §5).</w:t>
      </w:r>
    </w:p>
    <w:p>
      <w:pPr>
        <w:spacing w:after="80" w:line="360" w:lineRule="auto"/>
        <w:jc w:val="both"/>
      </w:pPr>
      <w:r>
        <w:rPr>
          <w:rFonts w:ascii="Times New Roman" w:hAnsi="Times New Roman" w:eastAsia="SimSun"/>
          <w:b w:val="0"/>
          <w:i w:val="0"/>
          <w:sz w:val="24"/>
        </w:rPr>
        <w:t>[2] Ibid.: einstein_direct/sympy_derivation.py; einstein_direct/results/derivation_results.json (the symbolic crosscheck).</w:t>
      </w:r>
    </w:p>
    <w:p>
      <w:pPr>
        <w:spacing w:after="80" w:line="360" w:lineRule="auto"/>
        <w:jc w:val="both"/>
      </w:pPr>
      <w:r>
        <w:rPr>
          <w:rFonts w:ascii="Times New Roman" w:hAnsi="Times New Roman" w:eastAsia="SimSun"/>
          <w:b w:val="0"/>
          <w:i w:val="0"/>
          <w:sz w:val="24"/>
        </w:rPr>
        <w:t>[3] M. D. Roberts. Scalar field counterexamples to the cosmic censorship hypothesis // Gen. Relativ. Gravit. 21, 907 (1989) — the exact solution.</w:t>
      </w:r>
    </w:p>
    <w:p>
      <w:pPr>
        <w:spacing w:after="80" w:line="360" w:lineRule="auto"/>
        <w:jc w:val="both"/>
      </w:pPr>
      <w:r>
        <w:rPr>
          <w:rFonts w:ascii="Times New Roman" w:hAnsi="Times New Roman" w:eastAsia="SimSun"/>
          <w:b w:val="0"/>
          <w:i w:val="0"/>
          <w:sz w:val="24"/>
        </w:rPr>
        <w:t>[4] Monographs No. 11, No. 12, No. 16 of the theorems12 cycle.</w:t>
      </w:r>
    </w:p>
    <w:sectPr w:rsidR="00FC693F" w:rsidRPr="0006063C" w:rsidSect="00034616">
      <w:headerReference w:type="default" r:id="rId11"/>
      <w:footerReference w:type="default" r:id="rId12"/>
      <w:pgSz w:w="11906" w:h="16838"/>
      <w:pgMar w:top="1440" w:right="1417" w:bottom="1440"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ROMAN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arabic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17 · The Roberts Validation Theorem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17 · The Roberts Validation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